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78A4B" w14:textId="77777777" w:rsidR="008F5392" w:rsidRPr="00ED665C" w:rsidRDefault="008F5392" w:rsidP="008F5392">
      <w:pPr>
        <w:spacing w:before="240"/>
        <w:rPr>
          <w:rFonts w:eastAsia="Times New Roman" w:cs="Times New Roman"/>
          <w:color w:val="000000"/>
        </w:rPr>
      </w:pPr>
      <w:bookmarkStart w:id="0" w:name="_GoBack"/>
      <w:bookmarkEnd w:id="0"/>
      <w:r w:rsidRPr="00C27D4F">
        <w:rPr>
          <w:rFonts w:ascii="Century Gothic" w:hAnsi="Century Gothic"/>
          <w:b/>
        </w:rPr>
        <w:t>Purpose</w:t>
      </w:r>
      <w:r w:rsidRPr="00ED665C">
        <w:t xml:space="preserve">: </w:t>
      </w:r>
      <w:r w:rsidRPr="00ED665C">
        <w:rPr>
          <w:rFonts w:eastAsia="Times New Roman" w:cs="Times New Roman"/>
          <w:color w:val="000000"/>
        </w:rPr>
        <w:t xml:space="preserve">A formal charge of the math task force communicates its goals and areas of work. This template is designed to help develop and establish an effective charge. </w:t>
      </w:r>
    </w:p>
    <w:p w14:paraId="0CA15676" w14:textId="77777777" w:rsidR="008F5392" w:rsidRPr="00ED665C" w:rsidRDefault="008F5392" w:rsidP="008F5392">
      <w:pPr>
        <w:rPr>
          <w:rFonts w:eastAsia="Times New Roman" w:cs="Times New Roman"/>
          <w:color w:val="000000"/>
        </w:rPr>
      </w:pPr>
    </w:p>
    <w:p w14:paraId="247EA00C" w14:textId="04C4F7EA" w:rsidR="008F5392" w:rsidRPr="00ED665C" w:rsidRDefault="008F5392" w:rsidP="008F5392">
      <w:pPr>
        <w:rPr>
          <w:rFonts w:eastAsia="Times New Roman" w:cs="Times New Roman"/>
          <w:color w:val="000000"/>
        </w:rPr>
      </w:pPr>
      <w:r w:rsidRPr="00C27D4F">
        <w:rPr>
          <w:rFonts w:ascii="Century Gothic" w:eastAsia="Times New Roman" w:hAnsi="Century Gothic" w:cs="Times New Roman"/>
          <w:b/>
          <w:color w:val="000000"/>
        </w:rPr>
        <w:t>Users</w:t>
      </w:r>
      <w:r w:rsidRPr="00ED665C">
        <w:rPr>
          <w:rFonts w:eastAsia="Times New Roman" w:cs="Times New Roman"/>
          <w:b/>
          <w:color w:val="000000"/>
        </w:rPr>
        <w:t>:</w:t>
      </w:r>
      <w:r w:rsidRPr="00ED665C">
        <w:rPr>
          <w:rFonts w:eastAsia="Times New Roman" w:cs="Times New Roman"/>
          <w:color w:val="000000"/>
        </w:rPr>
        <w:t xml:space="preserve"> </w:t>
      </w:r>
      <w:r w:rsidR="00651711">
        <w:rPr>
          <w:rFonts w:eastAsia="Times New Roman" w:cs="Times New Roman"/>
          <w:color w:val="000000"/>
        </w:rPr>
        <w:t>Facilitator and co-chairs (“e</w:t>
      </w:r>
      <w:r w:rsidRPr="00ED665C">
        <w:rPr>
          <w:rFonts w:eastAsia="Times New Roman" w:cs="Times New Roman"/>
          <w:color w:val="000000"/>
        </w:rPr>
        <w:t>xecutive committee</w:t>
      </w:r>
      <w:r w:rsidR="00651711">
        <w:rPr>
          <w:rFonts w:eastAsia="Times New Roman" w:cs="Times New Roman"/>
          <w:color w:val="000000"/>
        </w:rPr>
        <w:t>”)</w:t>
      </w:r>
    </w:p>
    <w:p w14:paraId="28CEA229" w14:textId="77777777" w:rsidR="008F5392" w:rsidRPr="00ED665C" w:rsidRDefault="008F5392" w:rsidP="008F5392">
      <w:pPr>
        <w:rPr>
          <w:rFonts w:eastAsia="Times New Roman" w:cs="Times New Roman"/>
          <w:color w:val="000000"/>
        </w:rPr>
      </w:pPr>
    </w:p>
    <w:p w14:paraId="1A2FC268" w14:textId="3E9D4CE4" w:rsidR="008F5392" w:rsidRDefault="008F5392" w:rsidP="008F5392">
      <w:pPr>
        <w:rPr>
          <w:rFonts w:eastAsia="Times New Roman" w:cs="Times New Roman"/>
          <w:color w:val="000000"/>
        </w:rPr>
      </w:pPr>
      <w:r w:rsidRPr="00C27D4F">
        <w:rPr>
          <w:rFonts w:ascii="Century Gothic" w:eastAsia="Times New Roman" w:hAnsi="Century Gothic" w:cs="Times New Roman"/>
          <w:b/>
          <w:color w:val="000000"/>
        </w:rPr>
        <w:t>Instructions</w:t>
      </w:r>
      <w:r w:rsidRPr="00ED665C">
        <w:rPr>
          <w:rFonts w:eastAsia="Times New Roman" w:cs="Times New Roman"/>
          <w:b/>
          <w:color w:val="000000"/>
        </w:rPr>
        <w:t>:</w:t>
      </w:r>
      <w:r w:rsidRPr="00ED665C">
        <w:rPr>
          <w:rFonts w:eastAsia="Times New Roman" w:cs="Times New Roman"/>
          <w:color w:val="000000"/>
        </w:rPr>
        <w:t xml:space="preserve"> We recommend that a small group, such as an executive committee, use this template to draft a charge for the task force. Examples from other states are provided to help inform this process. Share a draft of the formal charge with task force members during their first meeting to allow them the opportunity to refine the charge.</w:t>
      </w:r>
    </w:p>
    <w:p w14:paraId="339BA0E5" w14:textId="77777777" w:rsidR="008F5392" w:rsidRPr="00ED665C" w:rsidRDefault="008F5392" w:rsidP="008F5392"/>
    <w:tbl>
      <w:tblPr>
        <w:tblStyle w:val="TableGrid"/>
        <w:tblW w:w="9648" w:type="dxa"/>
        <w:tblLook w:val="04A0" w:firstRow="1" w:lastRow="0" w:firstColumn="1" w:lastColumn="0" w:noHBand="0" w:noVBand="1"/>
      </w:tblPr>
      <w:tblGrid>
        <w:gridCol w:w="4428"/>
        <w:gridCol w:w="5220"/>
      </w:tblGrid>
      <w:tr w:rsidR="008F5392" w:rsidRPr="000A6C65" w14:paraId="4E06B744" w14:textId="77777777" w:rsidTr="008F5392">
        <w:tc>
          <w:tcPr>
            <w:tcW w:w="4428" w:type="dxa"/>
            <w:shd w:val="clear" w:color="auto" w:fill="808080" w:themeFill="background1" w:themeFillShade="80"/>
            <w:vAlign w:val="center"/>
          </w:tcPr>
          <w:p w14:paraId="692ABE89" w14:textId="77777777" w:rsidR="008F5392" w:rsidRPr="001368D6" w:rsidRDefault="008F5392" w:rsidP="00E84496">
            <w:pPr>
              <w:spacing w:before="40" w:after="40"/>
              <w:rPr>
                <w:rFonts w:asciiTheme="minorHAnsi" w:hAnsiTheme="minorHAnsi"/>
                <w:b/>
                <w:color w:val="FFFFFF" w:themeColor="background1"/>
              </w:rPr>
            </w:pPr>
            <w:r w:rsidRPr="001368D6">
              <w:rPr>
                <w:rFonts w:asciiTheme="minorHAnsi" w:hAnsiTheme="minorHAnsi"/>
                <w:b/>
                <w:color w:val="FFFFFF" w:themeColor="background1"/>
              </w:rPr>
              <w:t>Guiding Questions</w:t>
            </w:r>
          </w:p>
        </w:tc>
        <w:tc>
          <w:tcPr>
            <w:tcW w:w="5220" w:type="dxa"/>
            <w:shd w:val="clear" w:color="auto" w:fill="808080" w:themeFill="background1" w:themeFillShade="80"/>
            <w:vAlign w:val="center"/>
          </w:tcPr>
          <w:p w14:paraId="27DC6B22" w14:textId="77777777" w:rsidR="008F5392" w:rsidRPr="001368D6" w:rsidRDefault="008F5392" w:rsidP="00E84496">
            <w:pPr>
              <w:spacing w:before="40" w:after="40"/>
              <w:rPr>
                <w:rFonts w:asciiTheme="minorHAnsi" w:hAnsiTheme="minorHAnsi"/>
                <w:b/>
                <w:color w:val="FFFFFF" w:themeColor="background1"/>
              </w:rPr>
            </w:pPr>
            <w:r w:rsidRPr="001368D6">
              <w:rPr>
                <w:rFonts w:asciiTheme="minorHAnsi" w:hAnsiTheme="minorHAnsi"/>
                <w:b/>
                <w:color w:val="FFFFFF" w:themeColor="background1"/>
              </w:rPr>
              <w:t>Notes</w:t>
            </w:r>
          </w:p>
        </w:tc>
      </w:tr>
      <w:tr w:rsidR="008F5392" w:rsidRPr="00ED665C" w14:paraId="3312F435" w14:textId="77777777" w:rsidTr="00E84496">
        <w:tc>
          <w:tcPr>
            <w:tcW w:w="4428" w:type="dxa"/>
          </w:tcPr>
          <w:p w14:paraId="72B18337" w14:textId="77777777" w:rsidR="008F5392" w:rsidRPr="00ED665C" w:rsidRDefault="008F5392" w:rsidP="00E84496">
            <w:pPr>
              <w:spacing w:before="80"/>
            </w:pPr>
            <w:r w:rsidRPr="00ED665C">
              <w:t>Who is setting the charge?</w:t>
            </w:r>
          </w:p>
          <w:p w14:paraId="1F03DB2E" w14:textId="77777777" w:rsidR="008F5392" w:rsidRPr="00ED665C" w:rsidRDefault="008F5392" w:rsidP="008F5392">
            <w:pPr>
              <w:pStyle w:val="ListParagraph"/>
              <w:numPr>
                <w:ilvl w:val="0"/>
                <w:numId w:val="5"/>
              </w:numPr>
              <w:spacing w:before="40" w:after="40"/>
            </w:pPr>
            <w:r w:rsidRPr="00ED665C">
              <w:t>State agency?</w:t>
            </w:r>
          </w:p>
          <w:p w14:paraId="71FC3379" w14:textId="77777777" w:rsidR="008F5392" w:rsidRPr="00ED665C" w:rsidRDefault="008F5392" w:rsidP="008F5392">
            <w:pPr>
              <w:pStyle w:val="ListParagraph"/>
              <w:numPr>
                <w:ilvl w:val="0"/>
                <w:numId w:val="5"/>
              </w:numPr>
              <w:spacing w:before="40" w:after="40"/>
            </w:pPr>
            <w:r w:rsidRPr="00ED665C">
              <w:t>Board of regents?</w:t>
            </w:r>
          </w:p>
          <w:p w14:paraId="734F98E6" w14:textId="77777777" w:rsidR="008F5392" w:rsidRPr="00ED665C" w:rsidRDefault="008F5392" w:rsidP="008F5392">
            <w:pPr>
              <w:pStyle w:val="ListParagraph"/>
              <w:numPr>
                <w:ilvl w:val="0"/>
                <w:numId w:val="5"/>
              </w:numPr>
              <w:spacing w:before="40" w:after="80"/>
              <w:contextualSpacing w:val="0"/>
            </w:pPr>
            <w:r w:rsidRPr="00ED665C">
              <w:t>Other convening organization?</w:t>
            </w:r>
          </w:p>
          <w:p w14:paraId="4FA997C8" w14:textId="77777777" w:rsidR="008F5392" w:rsidRPr="00ED665C" w:rsidRDefault="008F5392" w:rsidP="00E84496">
            <w:pPr>
              <w:pStyle w:val="ListParagraph"/>
              <w:spacing w:before="40" w:after="80"/>
              <w:contextualSpacing w:val="0"/>
            </w:pPr>
          </w:p>
        </w:tc>
        <w:tc>
          <w:tcPr>
            <w:tcW w:w="5220" w:type="dxa"/>
          </w:tcPr>
          <w:p w14:paraId="3830A09C" w14:textId="77777777" w:rsidR="008F5392" w:rsidRPr="00ED665C" w:rsidRDefault="008F5392" w:rsidP="00E84496"/>
          <w:p w14:paraId="3C8E490E" w14:textId="77777777" w:rsidR="008F5392" w:rsidRPr="00ED665C" w:rsidRDefault="008F5392" w:rsidP="00E84496"/>
          <w:p w14:paraId="39956365" w14:textId="77777777" w:rsidR="008F5392" w:rsidRPr="00ED665C" w:rsidRDefault="008F5392" w:rsidP="00E84496"/>
        </w:tc>
      </w:tr>
      <w:tr w:rsidR="008F5392" w:rsidRPr="00ED665C" w14:paraId="075477DB" w14:textId="77777777" w:rsidTr="00E84496">
        <w:tc>
          <w:tcPr>
            <w:tcW w:w="4428" w:type="dxa"/>
            <w:vAlign w:val="center"/>
          </w:tcPr>
          <w:p w14:paraId="792F58E9" w14:textId="77777777" w:rsidR="008F5392" w:rsidRPr="00ED665C" w:rsidRDefault="008F5392" w:rsidP="00E84496">
            <w:pPr>
              <w:spacing w:before="80" w:after="80"/>
            </w:pPr>
            <w:r w:rsidRPr="00ED665C">
              <w:t>What is the name of the task force?</w:t>
            </w:r>
          </w:p>
        </w:tc>
        <w:tc>
          <w:tcPr>
            <w:tcW w:w="5220" w:type="dxa"/>
          </w:tcPr>
          <w:p w14:paraId="2872E3AC" w14:textId="77777777" w:rsidR="008F5392" w:rsidRPr="00ED665C" w:rsidRDefault="008F5392" w:rsidP="00E84496"/>
          <w:p w14:paraId="5A950F3B" w14:textId="77777777" w:rsidR="008F5392" w:rsidRPr="00ED665C" w:rsidRDefault="008F5392" w:rsidP="00E84496"/>
          <w:p w14:paraId="23762ACB" w14:textId="77777777" w:rsidR="008F5392" w:rsidRPr="00ED665C" w:rsidRDefault="008F5392" w:rsidP="00E84496"/>
        </w:tc>
      </w:tr>
      <w:tr w:rsidR="008F5392" w:rsidRPr="00ED665C" w14:paraId="5CFE2DB9" w14:textId="77777777" w:rsidTr="00E84496">
        <w:tc>
          <w:tcPr>
            <w:tcW w:w="4428" w:type="dxa"/>
          </w:tcPr>
          <w:p w14:paraId="4E86B252" w14:textId="77777777" w:rsidR="008F5392" w:rsidRPr="00ED665C" w:rsidRDefault="008F5392" w:rsidP="00E84496">
            <w:pPr>
              <w:spacing w:before="80"/>
            </w:pPr>
            <w:r w:rsidRPr="00ED665C">
              <w:t>What are the essential goals/areas of work?</w:t>
            </w:r>
          </w:p>
          <w:p w14:paraId="2073E29C" w14:textId="77777777" w:rsidR="008F5392" w:rsidRPr="00ED665C" w:rsidRDefault="008F5392" w:rsidP="008F5392">
            <w:pPr>
              <w:pStyle w:val="ListParagraph"/>
              <w:numPr>
                <w:ilvl w:val="0"/>
                <w:numId w:val="6"/>
              </w:numPr>
              <w:spacing w:before="40" w:after="40"/>
              <w:contextualSpacing w:val="0"/>
            </w:pPr>
            <w:r w:rsidRPr="00ED665C">
              <w:t>Increasing success in mathematics?</w:t>
            </w:r>
          </w:p>
          <w:p w14:paraId="18C946F4" w14:textId="77777777" w:rsidR="008F5392" w:rsidRPr="00ED665C" w:rsidRDefault="008F5392" w:rsidP="008F5392">
            <w:pPr>
              <w:pStyle w:val="ListParagraph"/>
              <w:numPr>
                <w:ilvl w:val="0"/>
                <w:numId w:val="6"/>
              </w:numPr>
              <w:spacing w:before="40" w:after="40"/>
              <w:contextualSpacing w:val="0"/>
            </w:pPr>
            <w:r w:rsidRPr="00ED665C">
              <w:t>Alignment of college-level and developmental mathematics?</w:t>
            </w:r>
          </w:p>
          <w:p w14:paraId="7CB3AEAB" w14:textId="77777777" w:rsidR="008F5392" w:rsidRPr="00ED665C" w:rsidRDefault="008F5392" w:rsidP="008F5392">
            <w:pPr>
              <w:pStyle w:val="ListParagraph"/>
              <w:numPr>
                <w:ilvl w:val="0"/>
                <w:numId w:val="6"/>
              </w:numPr>
              <w:spacing w:before="40" w:after="40"/>
              <w:contextualSpacing w:val="0"/>
            </w:pPr>
            <w:r w:rsidRPr="00ED665C">
              <w:t>Increasing transferability and applicability of math courses?</w:t>
            </w:r>
          </w:p>
          <w:p w14:paraId="1440C086" w14:textId="77777777" w:rsidR="008F5392" w:rsidRPr="00ED665C" w:rsidRDefault="008F5392" w:rsidP="00E84496">
            <w:pPr>
              <w:spacing w:after="80"/>
            </w:pPr>
          </w:p>
          <w:p w14:paraId="13268576" w14:textId="77777777" w:rsidR="008F5392" w:rsidRPr="00ED665C" w:rsidRDefault="008F5392" w:rsidP="00E84496">
            <w:pPr>
              <w:spacing w:after="80"/>
            </w:pPr>
            <w:r w:rsidRPr="00ED665C">
              <w:t>Are there particular policies, such as placement, that need attention?</w:t>
            </w:r>
          </w:p>
          <w:p w14:paraId="47DABCDC" w14:textId="77777777" w:rsidR="008F5392" w:rsidRPr="00ED665C" w:rsidRDefault="008F5392" w:rsidP="00E84496">
            <w:pPr>
              <w:spacing w:after="80"/>
              <w:rPr>
                <w:rFonts w:eastAsiaTheme="majorEastAsia" w:cstheme="majorBidi"/>
                <w:i/>
                <w:iCs/>
                <w:color w:val="5B7080" w:themeColor="text1" w:themeTint="BF"/>
              </w:rPr>
            </w:pPr>
          </w:p>
        </w:tc>
        <w:tc>
          <w:tcPr>
            <w:tcW w:w="5220" w:type="dxa"/>
          </w:tcPr>
          <w:p w14:paraId="2D8C1838" w14:textId="77777777" w:rsidR="008F5392" w:rsidRPr="00ED665C" w:rsidRDefault="008F5392" w:rsidP="00E84496"/>
          <w:p w14:paraId="7289DD14" w14:textId="77777777" w:rsidR="008F5392" w:rsidRPr="00ED665C" w:rsidRDefault="008F5392" w:rsidP="00E84496"/>
          <w:p w14:paraId="2DF34612" w14:textId="77777777" w:rsidR="008F5392" w:rsidRPr="00ED665C" w:rsidRDefault="008F5392" w:rsidP="00E84496"/>
          <w:p w14:paraId="68D3F97A" w14:textId="77777777" w:rsidR="008F5392" w:rsidRPr="00ED665C" w:rsidRDefault="008F5392" w:rsidP="00E84496"/>
          <w:p w14:paraId="2716AE77" w14:textId="77777777" w:rsidR="008F5392" w:rsidRPr="00ED665C" w:rsidRDefault="008F5392" w:rsidP="00E84496"/>
          <w:p w14:paraId="2C2FC959" w14:textId="77777777" w:rsidR="008F5392" w:rsidRPr="00ED665C" w:rsidRDefault="008F5392" w:rsidP="00E84496"/>
          <w:p w14:paraId="404C2510" w14:textId="77777777" w:rsidR="008F5392" w:rsidRPr="00ED665C" w:rsidRDefault="008F5392" w:rsidP="00E84496"/>
          <w:p w14:paraId="4436A676" w14:textId="77777777" w:rsidR="008F5392" w:rsidRPr="00ED665C" w:rsidRDefault="008F5392" w:rsidP="00E84496"/>
          <w:p w14:paraId="7F9CD9ED" w14:textId="77777777" w:rsidR="008F5392" w:rsidRPr="00ED665C" w:rsidRDefault="008F5392" w:rsidP="00E84496"/>
          <w:p w14:paraId="3F6149DD" w14:textId="77777777" w:rsidR="008F5392" w:rsidRPr="00ED665C" w:rsidRDefault="008F5392" w:rsidP="00E84496"/>
          <w:p w14:paraId="125B8B5D" w14:textId="77777777" w:rsidR="008F5392" w:rsidRPr="00ED665C" w:rsidRDefault="008F5392" w:rsidP="00E84496"/>
        </w:tc>
      </w:tr>
      <w:tr w:rsidR="008F5392" w:rsidRPr="00ED665C" w14:paraId="490ACE68" w14:textId="77777777" w:rsidTr="00E84496">
        <w:tc>
          <w:tcPr>
            <w:tcW w:w="4428" w:type="dxa"/>
          </w:tcPr>
          <w:p w14:paraId="1E2D023A" w14:textId="77777777" w:rsidR="008F5392" w:rsidRPr="00ED665C" w:rsidRDefault="008F5392" w:rsidP="00E84496">
            <w:pPr>
              <w:spacing w:before="80"/>
            </w:pPr>
            <w:r w:rsidRPr="00ED665C">
              <w:t>What is the anticipated deliverable and timeline?</w:t>
            </w:r>
          </w:p>
          <w:p w14:paraId="3FBB33C0" w14:textId="77777777" w:rsidR="008F5392" w:rsidRPr="00ED665C" w:rsidRDefault="008F5392" w:rsidP="008F5392">
            <w:pPr>
              <w:pStyle w:val="ListParagraph"/>
              <w:numPr>
                <w:ilvl w:val="0"/>
                <w:numId w:val="7"/>
              </w:numPr>
              <w:spacing w:before="40" w:after="80"/>
              <w:contextualSpacing w:val="0"/>
            </w:pPr>
            <w:r w:rsidRPr="00ED665C">
              <w:t>How and when will the task force release recommendations?</w:t>
            </w:r>
          </w:p>
          <w:p w14:paraId="0BBD2DEF" w14:textId="77777777" w:rsidR="008F5392" w:rsidRPr="00ED665C" w:rsidRDefault="008F5392" w:rsidP="00E84496">
            <w:pPr>
              <w:spacing w:before="40" w:after="80"/>
              <w:ind w:left="360"/>
            </w:pPr>
          </w:p>
        </w:tc>
        <w:tc>
          <w:tcPr>
            <w:tcW w:w="5220" w:type="dxa"/>
          </w:tcPr>
          <w:p w14:paraId="7397F3DA" w14:textId="77777777" w:rsidR="008F5392" w:rsidRPr="00ED665C" w:rsidRDefault="008F5392" w:rsidP="00E84496"/>
          <w:p w14:paraId="2772DDB8" w14:textId="77777777" w:rsidR="008F5392" w:rsidRPr="00ED665C" w:rsidRDefault="008F5392" w:rsidP="00E84496"/>
          <w:p w14:paraId="7CB0A87E" w14:textId="77777777" w:rsidR="008F5392" w:rsidRPr="00ED665C" w:rsidRDefault="008F5392" w:rsidP="00E84496"/>
          <w:p w14:paraId="203CE302" w14:textId="77777777" w:rsidR="008F5392" w:rsidRPr="00ED665C" w:rsidRDefault="008F5392" w:rsidP="00E84496"/>
          <w:p w14:paraId="5ADD99AB" w14:textId="77777777" w:rsidR="008F5392" w:rsidRPr="00ED665C" w:rsidRDefault="008F5392" w:rsidP="00E84496"/>
          <w:p w14:paraId="025D1C14" w14:textId="77777777" w:rsidR="008F5392" w:rsidRPr="00ED665C" w:rsidRDefault="008F5392" w:rsidP="00E84496"/>
        </w:tc>
      </w:tr>
    </w:tbl>
    <w:p w14:paraId="740D08B0" w14:textId="26E012AD" w:rsidR="008F5392" w:rsidRDefault="008F5392" w:rsidP="008F5392"/>
    <w:p w14:paraId="21162386" w14:textId="77777777" w:rsidR="008F5392" w:rsidRPr="00B911FF" w:rsidRDefault="008F5392" w:rsidP="008F5392">
      <w:pPr>
        <w:rPr>
          <w:rFonts w:asciiTheme="minorHAnsi" w:hAnsiTheme="minorHAnsi"/>
          <w:b/>
        </w:rPr>
      </w:pPr>
      <w:r w:rsidRPr="00B911FF">
        <w:rPr>
          <w:rFonts w:asciiTheme="minorHAnsi" w:hAnsiTheme="minorHAnsi"/>
        </w:rPr>
        <w:br w:type="page"/>
      </w:r>
      <w:r w:rsidRPr="00B911FF">
        <w:rPr>
          <w:rFonts w:asciiTheme="minorHAnsi" w:hAnsiTheme="minorHAnsi"/>
          <w:b/>
        </w:rPr>
        <w:lastRenderedPageBreak/>
        <w:t>Example from Colorado:</w:t>
      </w:r>
    </w:p>
    <w:p w14:paraId="695D8B37" w14:textId="77777777" w:rsidR="008F5392" w:rsidRPr="00ED665C" w:rsidRDefault="008F5392" w:rsidP="008F5392"/>
    <w:p w14:paraId="44B2BE62" w14:textId="77777777" w:rsidR="008F5392" w:rsidRPr="00ED665C" w:rsidRDefault="008F5392" w:rsidP="008F5392">
      <w:r w:rsidRPr="00ED665C">
        <w:t xml:space="preserve">Overall Goal </w:t>
      </w:r>
    </w:p>
    <w:p w14:paraId="183E83AE" w14:textId="77777777" w:rsidR="008F5392" w:rsidRPr="00ED665C" w:rsidRDefault="008F5392" w:rsidP="008F5392">
      <w:pPr>
        <w:rPr>
          <w:rFonts w:cs="Times New Roman"/>
        </w:rPr>
      </w:pPr>
    </w:p>
    <w:p w14:paraId="314E6807" w14:textId="77777777" w:rsidR="008F5392" w:rsidRPr="00ED665C" w:rsidRDefault="008F5392" w:rsidP="008F5392">
      <w:pPr>
        <w:ind w:right="720"/>
        <w:rPr>
          <w:i/>
        </w:rPr>
      </w:pPr>
      <w:r w:rsidRPr="00ED665C">
        <w:rPr>
          <w:i/>
        </w:rPr>
        <w:t>Develop expectations and processes that result in each institution of higher education in Colorado offering pathways in mathematics that yield (1) increased success for students in the study of mathematics; (2) a higher percentage of students completing in a timely manner the appropriate gateway math course(s) for their intended degree program; and (3) effective transferability of credits for students moving from one institution to another.</w:t>
      </w:r>
    </w:p>
    <w:p w14:paraId="27F9A8C4" w14:textId="77777777" w:rsidR="008F5392" w:rsidRPr="00ED665C" w:rsidRDefault="008F5392" w:rsidP="008F5392">
      <w:pPr>
        <w:ind w:left="1296" w:right="720"/>
        <w:rPr>
          <w:i/>
        </w:rPr>
      </w:pPr>
    </w:p>
    <w:p w14:paraId="2FCC20F9" w14:textId="77777777" w:rsidR="008F5392" w:rsidRPr="00ED665C" w:rsidRDefault="008F5392" w:rsidP="008F5392">
      <w:pPr>
        <w:pStyle w:val="ListParagraph"/>
        <w:spacing w:before="40"/>
        <w:ind w:left="0" w:right="720"/>
        <w:contextualSpacing w:val="0"/>
      </w:pPr>
      <w:r w:rsidRPr="00ED665C">
        <w:t>Mission Statement</w:t>
      </w:r>
    </w:p>
    <w:p w14:paraId="4519CC05" w14:textId="77777777" w:rsidR="008F5392" w:rsidRPr="00ED665C" w:rsidRDefault="008F5392" w:rsidP="008F5392">
      <w:pPr>
        <w:pStyle w:val="ListParagraph"/>
        <w:spacing w:before="40"/>
        <w:ind w:left="0" w:right="720"/>
        <w:contextualSpacing w:val="0"/>
        <w:rPr>
          <w:i/>
        </w:rPr>
      </w:pPr>
    </w:p>
    <w:p w14:paraId="09B4B44F" w14:textId="77777777" w:rsidR="008F5392" w:rsidRPr="00ED665C" w:rsidRDefault="008F5392" w:rsidP="008F5392">
      <w:pPr>
        <w:pStyle w:val="ListParagraph"/>
        <w:ind w:left="0" w:right="720"/>
        <w:rPr>
          <w:i/>
        </w:rPr>
      </w:pPr>
      <w:r w:rsidRPr="00ED665C">
        <w:rPr>
          <w:i/>
        </w:rPr>
        <w:t>The mission of the Colorado Math Pathways Task Force is to</w:t>
      </w:r>
    </w:p>
    <w:p w14:paraId="74760207" w14:textId="77777777" w:rsidR="008F5392" w:rsidRPr="00ED665C" w:rsidRDefault="008F5392" w:rsidP="008F5392">
      <w:pPr>
        <w:pStyle w:val="ListParagraph"/>
        <w:ind w:left="0" w:right="720"/>
        <w:rPr>
          <w:i/>
        </w:rPr>
      </w:pPr>
    </w:p>
    <w:p w14:paraId="6E38C3BF" w14:textId="77777777" w:rsidR="008F5392" w:rsidRPr="00ED665C" w:rsidRDefault="008F5392" w:rsidP="008F5392">
      <w:pPr>
        <w:pStyle w:val="ListParagraph"/>
        <w:numPr>
          <w:ilvl w:val="0"/>
          <w:numId w:val="7"/>
        </w:numPr>
        <w:spacing w:line="276" w:lineRule="auto"/>
        <w:ind w:right="720"/>
        <w:rPr>
          <w:rFonts w:eastAsia="Times New Roman" w:cs="Times New Roman"/>
          <w:i/>
          <w:lang w:val="en-CA"/>
        </w:rPr>
      </w:pPr>
      <w:r w:rsidRPr="00ED665C">
        <w:rPr>
          <w:rFonts w:eastAsia="Times New Roman" w:cs="Times New Roman"/>
          <w:i/>
        </w:rPr>
        <w:t>Convene math faculty leaders to decide h</w:t>
      </w:r>
      <w:proofErr w:type="spellStart"/>
      <w:r w:rsidRPr="00ED665C">
        <w:rPr>
          <w:rFonts w:eastAsia="Times New Roman" w:cs="Times New Roman"/>
          <w:i/>
          <w:lang w:val="en-CA"/>
        </w:rPr>
        <w:t>ow</w:t>
      </w:r>
      <w:proofErr w:type="spellEnd"/>
      <w:r w:rsidRPr="00ED665C">
        <w:rPr>
          <w:rFonts w:eastAsia="Times New Roman" w:cs="Times New Roman"/>
          <w:i/>
          <w:lang w:val="en-CA"/>
        </w:rPr>
        <w:t xml:space="preserve"> well gateway math courses are aligned with programs of study; </w:t>
      </w:r>
    </w:p>
    <w:p w14:paraId="12BA644F" w14:textId="77777777" w:rsidR="008F5392" w:rsidRPr="00ED665C" w:rsidRDefault="008F5392" w:rsidP="008F5392">
      <w:pPr>
        <w:pStyle w:val="ListParagraph"/>
        <w:numPr>
          <w:ilvl w:val="0"/>
          <w:numId w:val="7"/>
        </w:numPr>
        <w:spacing w:line="276" w:lineRule="auto"/>
        <w:ind w:right="720"/>
        <w:rPr>
          <w:rFonts w:eastAsia="Times New Roman" w:cs="Times New Roman"/>
          <w:i/>
          <w:lang w:val="en-CA"/>
        </w:rPr>
      </w:pPr>
      <w:r w:rsidRPr="00ED665C">
        <w:rPr>
          <w:rFonts w:eastAsia="Times New Roman" w:cs="Times New Roman"/>
          <w:i/>
          <w:lang w:val="en-CA"/>
        </w:rPr>
        <w:t>Draft a public statement on the importance of better alignment of gateway math courses with programs of study;</w:t>
      </w:r>
    </w:p>
    <w:p w14:paraId="13A6F029" w14:textId="77777777" w:rsidR="008F5392" w:rsidRPr="00ED665C" w:rsidRDefault="008F5392" w:rsidP="008F5392">
      <w:pPr>
        <w:pStyle w:val="ListParagraph"/>
        <w:numPr>
          <w:ilvl w:val="0"/>
          <w:numId w:val="7"/>
        </w:numPr>
        <w:spacing w:line="276" w:lineRule="auto"/>
        <w:ind w:right="720"/>
        <w:rPr>
          <w:rFonts w:eastAsia="Times New Roman" w:cs="Times New Roman"/>
          <w:i/>
          <w:lang w:val="en-CA"/>
        </w:rPr>
      </w:pPr>
      <w:r w:rsidRPr="00ED665C">
        <w:rPr>
          <w:rFonts w:eastAsia="Times New Roman" w:cs="Times New Roman"/>
          <w:i/>
        </w:rPr>
        <w:t>Identify and/or suggest alternative gateway math courses that are rigorous and of quality in content and competencies, and that are more appropriately aligned with the math skills students need to succeed in their programs of study; and</w:t>
      </w:r>
    </w:p>
    <w:p w14:paraId="065816FC" w14:textId="77777777" w:rsidR="008F5392" w:rsidRPr="00ED665C" w:rsidRDefault="008F5392" w:rsidP="008F5392">
      <w:pPr>
        <w:pStyle w:val="ListParagraph"/>
        <w:numPr>
          <w:ilvl w:val="0"/>
          <w:numId w:val="7"/>
        </w:numPr>
        <w:spacing w:line="276" w:lineRule="auto"/>
        <w:ind w:right="720"/>
        <w:rPr>
          <w:rFonts w:eastAsia="Times New Roman" w:cs="Times New Roman"/>
          <w:i/>
          <w:lang w:val="en-CA"/>
        </w:rPr>
      </w:pPr>
      <w:r w:rsidRPr="00ED665C">
        <w:rPr>
          <w:rFonts w:eastAsia="Times New Roman" w:cs="Times New Roman"/>
          <w:i/>
        </w:rPr>
        <w:t xml:space="preserve">Work with representatives from academic disciplines and advisors to review math requirements and consider alternative courses to college algebra for non-calculus based majors. </w:t>
      </w:r>
    </w:p>
    <w:p w14:paraId="7C767CF6" w14:textId="77777777" w:rsidR="008F5392" w:rsidRPr="00ED665C" w:rsidRDefault="008F5392" w:rsidP="008F5392">
      <w:pPr>
        <w:pStyle w:val="ListParagraph"/>
        <w:rPr>
          <w:rFonts w:cs="Times New Roman"/>
        </w:rPr>
      </w:pPr>
    </w:p>
    <w:p w14:paraId="68A4EB24" w14:textId="77777777" w:rsidR="008F5392" w:rsidRPr="00ED665C" w:rsidRDefault="008F5392" w:rsidP="008F5392"/>
    <w:p w14:paraId="19DDB4FF" w14:textId="77777777" w:rsidR="008F5392" w:rsidRPr="00B911FF" w:rsidRDefault="008F5392" w:rsidP="008F5392">
      <w:pPr>
        <w:rPr>
          <w:rFonts w:asciiTheme="minorHAnsi" w:hAnsiTheme="minorHAnsi"/>
          <w:b/>
        </w:rPr>
      </w:pPr>
      <w:r w:rsidRPr="00B911FF">
        <w:rPr>
          <w:rFonts w:asciiTheme="minorHAnsi" w:hAnsiTheme="minorHAnsi"/>
          <w:b/>
        </w:rPr>
        <w:t>Example from Ohio:</w:t>
      </w:r>
    </w:p>
    <w:p w14:paraId="69756A35" w14:textId="77777777" w:rsidR="008F5392" w:rsidRPr="00ED665C" w:rsidRDefault="008F5392" w:rsidP="008F5392"/>
    <w:p w14:paraId="58786FB5" w14:textId="60EACD3B" w:rsidR="008F5392" w:rsidRPr="00ED665C" w:rsidRDefault="008F5392" w:rsidP="008F5392">
      <w:r w:rsidRPr="00ED665C">
        <w:t>The Ohio Board of Regents charges the Ohio Mathematics Steering Committee to develop expectations and processes that result in each campus offering pathways in mathematics that yield (a) increased success for students in the study of mathematics, (b) a higher percentage of students c</w:t>
      </w:r>
      <w:r w:rsidR="00B911FF">
        <w:t xml:space="preserve">ompleting degree programs, and </w:t>
      </w:r>
      <w:r w:rsidRPr="00ED665C">
        <w:t>(c) effective transferability of credits for students moving from one institution to another.</w:t>
      </w:r>
    </w:p>
    <w:p w14:paraId="1F6267A5" w14:textId="77777777" w:rsidR="008F5392" w:rsidRPr="00ED665C" w:rsidRDefault="008F5392" w:rsidP="008F5392"/>
    <w:p w14:paraId="1D2EE635" w14:textId="77777777" w:rsidR="008F5392" w:rsidRPr="00ED665C" w:rsidRDefault="008F5392" w:rsidP="008F5392">
      <w:r w:rsidRPr="00ED665C">
        <w:t>Components essential to fulfill the charge in Ohio:</w:t>
      </w:r>
    </w:p>
    <w:p w14:paraId="2B423AC0" w14:textId="77777777" w:rsidR="008F5392" w:rsidRPr="00ED665C" w:rsidRDefault="008F5392" w:rsidP="008F5392"/>
    <w:p w14:paraId="26D493C5" w14:textId="77777777" w:rsidR="008F5392" w:rsidRPr="00ED665C" w:rsidRDefault="008F5392" w:rsidP="008F5392">
      <w:pPr>
        <w:pStyle w:val="ListParagraph"/>
        <w:numPr>
          <w:ilvl w:val="0"/>
          <w:numId w:val="8"/>
        </w:numPr>
        <w:tabs>
          <w:tab w:val="left" w:pos="450"/>
        </w:tabs>
        <w:ind w:left="450" w:hanging="450"/>
      </w:pPr>
      <w:r w:rsidRPr="00ED665C">
        <w:t>Revisit the traditional college algebra and other entry-level courses and get a measure of how well they work as (a) a gateway to the major in mathematics, (b) a gateway to other mathematics-intensive majors, and (c) as a supportive course for majors that are not mathematics-intensive. Consider alternative entry-level courses. In what manner can mathematics departments work with other departments on the alignment of mathematics courses to programs of study?</w:t>
      </w:r>
    </w:p>
    <w:p w14:paraId="4435B300" w14:textId="77777777" w:rsidR="008F5392" w:rsidRPr="00ED665C" w:rsidRDefault="008F5392" w:rsidP="008F5392">
      <w:pPr>
        <w:pStyle w:val="ListParagraph"/>
        <w:tabs>
          <w:tab w:val="left" w:pos="450"/>
        </w:tabs>
        <w:ind w:left="450"/>
      </w:pPr>
    </w:p>
    <w:p w14:paraId="5B20D6F2" w14:textId="77777777" w:rsidR="008F5392" w:rsidRPr="00ED665C" w:rsidRDefault="008F5392" w:rsidP="008F5392">
      <w:pPr>
        <w:pStyle w:val="ListParagraph"/>
        <w:numPr>
          <w:ilvl w:val="2"/>
          <w:numId w:val="9"/>
        </w:numPr>
        <w:tabs>
          <w:tab w:val="left" w:pos="450"/>
        </w:tabs>
        <w:ind w:left="1080"/>
      </w:pPr>
      <w:r w:rsidRPr="00ED665C">
        <w:t xml:space="preserve">Examples of entry-level courses: college algebra, pre-calculus, quantitative reasoning, elementary statistics, modeling. </w:t>
      </w:r>
    </w:p>
    <w:p w14:paraId="15E2FADA" w14:textId="77777777" w:rsidR="008F5392" w:rsidRPr="00ED665C" w:rsidRDefault="008F5392" w:rsidP="008F5392">
      <w:pPr>
        <w:pStyle w:val="ListParagraph"/>
        <w:numPr>
          <w:ilvl w:val="2"/>
          <w:numId w:val="9"/>
        </w:numPr>
        <w:tabs>
          <w:tab w:val="left" w:pos="450"/>
        </w:tabs>
        <w:ind w:left="1080"/>
      </w:pPr>
      <w:r w:rsidRPr="00ED665C">
        <w:t xml:space="preserve">Examples of specific strategies that support alternative entry-level courses: Quantway/Statway, New Mathways Project statistics, QR, and STEM-prep pathways, co-requisite models such as Austin </w:t>
      </w:r>
      <w:proofErr w:type="spellStart"/>
      <w:r w:rsidRPr="00ED665C">
        <w:t>Peay</w:t>
      </w:r>
      <w:proofErr w:type="spellEnd"/>
      <w:r w:rsidRPr="00ED665C">
        <w:t>.</w:t>
      </w:r>
    </w:p>
    <w:p w14:paraId="3FBE371D" w14:textId="77777777" w:rsidR="008F5392" w:rsidRPr="00ED665C" w:rsidRDefault="008F5392" w:rsidP="008F5392">
      <w:pPr>
        <w:pStyle w:val="ListParagraph"/>
        <w:tabs>
          <w:tab w:val="left" w:pos="450"/>
        </w:tabs>
        <w:ind w:left="450" w:hanging="450"/>
      </w:pPr>
    </w:p>
    <w:p w14:paraId="7F553D08" w14:textId="77777777" w:rsidR="008F5392" w:rsidRPr="00ED665C" w:rsidRDefault="008F5392" w:rsidP="008F5392">
      <w:pPr>
        <w:pStyle w:val="ListParagraph"/>
        <w:numPr>
          <w:ilvl w:val="0"/>
          <w:numId w:val="8"/>
        </w:numPr>
        <w:tabs>
          <w:tab w:val="left" w:pos="450"/>
        </w:tabs>
        <w:ind w:left="450" w:hanging="450"/>
      </w:pPr>
      <w:r w:rsidRPr="00ED665C">
        <w:t>Review current transfer models and processes for obtaining transfer approval, with goals to include ensuring the applicability of new/existing courses to majors and programs of study, and providing uniform standards while permitting course innovation. Consider issues such as student learning outcomes, prerequisite courses, required credit hours, and the infrastructure for approving courses</w:t>
      </w:r>
    </w:p>
    <w:p w14:paraId="04135286" w14:textId="77777777" w:rsidR="008F5392" w:rsidRPr="00ED665C" w:rsidRDefault="008F5392" w:rsidP="008F5392">
      <w:pPr>
        <w:pStyle w:val="ListParagraph"/>
        <w:tabs>
          <w:tab w:val="left" w:pos="450"/>
        </w:tabs>
        <w:ind w:left="450" w:hanging="450"/>
      </w:pPr>
    </w:p>
    <w:p w14:paraId="74518078" w14:textId="77777777" w:rsidR="008F5392" w:rsidRPr="00ED665C" w:rsidRDefault="008F5392" w:rsidP="008F5392">
      <w:pPr>
        <w:pStyle w:val="ListParagraph"/>
        <w:numPr>
          <w:ilvl w:val="0"/>
          <w:numId w:val="8"/>
        </w:numPr>
        <w:tabs>
          <w:tab w:val="left" w:pos="450"/>
        </w:tabs>
        <w:ind w:left="450" w:hanging="450"/>
      </w:pPr>
      <w:r w:rsidRPr="00ED665C">
        <w:t>Develop strategies to familiarize departments, instructors, and advisors with alternative approaches to entry-level courses, inclusive of content, instruction, and delivery mechanisms. Develop communication mechanisms that provide for exchange of information among chairpersons about best practices and about ways to move promising efforts to scale.</w:t>
      </w:r>
      <w:r w:rsidRPr="00ED665C">
        <w:rPr>
          <w:b/>
        </w:rPr>
        <w:t xml:space="preserve"> </w:t>
      </w:r>
      <w:r w:rsidRPr="00ED665C">
        <w:t xml:space="preserve">Develop strategies to communicate the recommendations of the Ohio Mathematics Steering Committee to relevant professional associations, state decision-makers, university and college leaders, and other relevant stakeholders.  </w:t>
      </w:r>
    </w:p>
    <w:p w14:paraId="75BA78B9" w14:textId="77777777" w:rsidR="008F5392" w:rsidRPr="00ED665C" w:rsidRDefault="008F5392" w:rsidP="008F5392">
      <w:pPr>
        <w:tabs>
          <w:tab w:val="left" w:pos="450"/>
        </w:tabs>
      </w:pPr>
    </w:p>
    <w:p w14:paraId="0DB6383D" w14:textId="77777777" w:rsidR="008F5392" w:rsidRPr="00ED665C" w:rsidRDefault="008F5392" w:rsidP="008F5392">
      <w:pPr>
        <w:pStyle w:val="ListParagraph"/>
        <w:numPr>
          <w:ilvl w:val="0"/>
          <w:numId w:val="8"/>
        </w:numPr>
        <w:tabs>
          <w:tab w:val="left" w:pos="450"/>
        </w:tabs>
        <w:ind w:left="450" w:hanging="450"/>
      </w:pPr>
      <w:r w:rsidRPr="00ED665C">
        <w:t xml:space="preserve">Develop mechanisms for collecting and analyzing data to measure effectiveness of existing and new entry-level mathematics courses, including dual enrollment courses taught in the high schools. Establish calendars for monitoring student success over time and for the periodic review of policies and practices. </w:t>
      </w:r>
    </w:p>
    <w:p w14:paraId="22982659" w14:textId="77777777" w:rsidR="008F5392" w:rsidRPr="00ED665C" w:rsidRDefault="008F5392" w:rsidP="008F5392">
      <w:pPr>
        <w:pStyle w:val="ListParagraph"/>
        <w:tabs>
          <w:tab w:val="left" w:pos="450"/>
        </w:tabs>
        <w:ind w:left="450"/>
      </w:pPr>
    </w:p>
    <w:p w14:paraId="4203E1EC" w14:textId="77777777" w:rsidR="008F5392" w:rsidRPr="000A6C65" w:rsidRDefault="008F5392" w:rsidP="008F5392">
      <w:pPr>
        <w:pStyle w:val="ListParagraph"/>
        <w:numPr>
          <w:ilvl w:val="0"/>
          <w:numId w:val="8"/>
        </w:numPr>
        <w:tabs>
          <w:tab w:val="left" w:pos="450"/>
        </w:tabs>
        <w:ind w:left="450" w:hanging="450"/>
        <w:rPr>
          <w:sz w:val="22"/>
          <w:szCs w:val="22"/>
        </w:rPr>
      </w:pPr>
      <w:r w:rsidRPr="00ED665C">
        <w:t>Look for w</w:t>
      </w:r>
      <w:r>
        <w:t>ays to improve alignment with K–</w:t>
      </w:r>
      <w:r w:rsidRPr="00ED665C">
        <w:t>12, specifically to ensure that college-level and developmental-level mathematics courses reflect the secondary-level CCSSM and to ensure that dual enrollment courses in any setting are equivalent to taking the course on a college campus. Delineate the roles of mathematics departments in supporting secondary schools as they prepare students to be college ready and without a need for rem</w:t>
      </w:r>
      <w:r w:rsidRPr="000A6C65">
        <w:rPr>
          <w:sz w:val="22"/>
          <w:szCs w:val="22"/>
        </w:rPr>
        <w:t xml:space="preserve">ediation.  </w:t>
      </w:r>
    </w:p>
    <w:p w14:paraId="29FF006A" w14:textId="77777777" w:rsidR="008F5392" w:rsidRPr="006731C4" w:rsidRDefault="008F5392" w:rsidP="008F5392"/>
    <w:p w14:paraId="0276E948" w14:textId="77777777" w:rsidR="009C2767" w:rsidRPr="008F5392" w:rsidRDefault="009C2767" w:rsidP="008F5392"/>
    <w:sectPr w:rsidR="009C2767" w:rsidRPr="008F5392" w:rsidSect="00C41EFF">
      <w:headerReference w:type="default" r:id="rId8"/>
      <w:footerReference w:type="default" r:id="rId9"/>
      <w:headerReference w:type="first" r:id="rId10"/>
      <w:footerReference w:type="first" r:id="rId11"/>
      <w:pgSz w:w="12240" w:h="15840"/>
      <w:pgMar w:top="1267" w:right="1440" w:bottom="1440" w:left="1440" w:header="720" w:footer="10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A2A2" w14:textId="77777777" w:rsidR="00D57ADD" w:rsidRDefault="00D57ADD" w:rsidP="00996F27">
      <w:r>
        <w:separator/>
      </w:r>
    </w:p>
  </w:endnote>
  <w:endnote w:type="continuationSeparator" w:id="0">
    <w:p w14:paraId="2B2BAA7E" w14:textId="77777777" w:rsidR="00D57ADD" w:rsidRDefault="00D57ADD" w:rsidP="009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BAD86" w14:textId="4A7FB4E3" w:rsidR="00276B5C" w:rsidRPr="004879FF" w:rsidRDefault="00207152" w:rsidP="00E76AD8">
    <w:pPr>
      <w:ind w:right="-900"/>
      <w:jc w:val="right"/>
      <w:rPr>
        <w:rFonts w:ascii="Arial" w:hAnsi="Arial"/>
        <w:color w:val="808080" w:themeColor="background1" w:themeShade="80"/>
        <w:sz w:val="14"/>
        <w:szCs w:val="14"/>
      </w:rPr>
    </w:pPr>
    <w:r>
      <w:rPr>
        <w:rFonts w:ascii="Arial" w:hAnsi="Arial" w:cs="Times New Roman"/>
        <w:color w:val="808080" w:themeColor="background1" w:themeShade="80"/>
        <w:sz w:val="14"/>
        <w:szCs w:val="14"/>
      </w:rPr>
      <w:t>2</w:t>
    </w:r>
    <w:r w:rsidR="00651711">
      <w:rPr>
        <w:rFonts w:ascii="Arial" w:hAnsi="Arial" w:cs="Times New Roman"/>
        <w:color w:val="808080" w:themeColor="background1" w:themeShade="80"/>
        <w:sz w:val="14"/>
        <w:szCs w:val="14"/>
      </w:rPr>
      <w:t>017</w:t>
    </w:r>
  </w:p>
  <w:p w14:paraId="4C347595" w14:textId="750C0556" w:rsidR="00276B5C" w:rsidRPr="00C14922" w:rsidRDefault="00276B5C" w:rsidP="00207535">
    <w:pPr>
      <w:pStyle w:val="Footer"/>
      <w:framePr w:w="353" w:h="305" w:hRule="exact" w:wrap="around" w:vAnchor="text" w:hAnchor="page" w:x="5941" w:y="470"/>
      <w:jc w:val="center"/>
      <w:rPr>
        <w:rStyle w:val="PageNumber"/>
        <w:szCs w:val="20"/>
      </w:rPr>
    </w:pPr>
    <w:r w:rsidRPr="00C14922">
      <w:rPr>
        <w:rStyle w:val="PageNumber"/>
        <w:szCs w:val="20"/>
      </w:rPr>
      <w:fldChar w:fldCharType="begin"/>
    </w:r>
    <w:r w:rsidRPr="00C14922">
      <w:rPr>
        <w:rStyle w:val="PageNumber"/>
        <w:szCs w:val="20"/>
      </w:rPr>
      <w:instrText xml:space="preserve">PAGE  </w:instrText>
    </w:r>
    <w:r w:rsidRPr="00C14922">
      <w:rPr>
        <w:rStyle w:val="PageNumber"/>
        <w:szCs w:val="20"/>
      </w:rPr>
      <w:fldChar w:fldCharType="separate"/>
    </w:r>
    <w:r w:rsidR="002F5162">
      <w:rPr>
        <w:rStyle w:val="PageNumber"/>
        <w:noProof/>
        <w:szCs w:val="20"/>
      </w:rPr>
      <w:t>3</w:t>
    </w:r>
    <w:r w:rsidRPr="00C14922">
      <w:rPr>
        <w:rStyle w:val="PageNumber"/>
        <w:szCs w:val="20"/>
      </w:rPr>
      <w:fldChar w:fldCharType="end"/>
    </w:r>
  </w:p>
  <w:p w14:paraId="6497D773" w14:textId="365066C1" w:rsidR="00276B5C" w:rsidRPr="008013DD" w:rsidRDefault="00276B5C" w:rsidP="009D73DA">
    <w:pPr>
      <w:pStyle w:val="Footer"/>
      <w:tabs>
        <w:tab w:val="clear" w:pos="4320"/>
        <w:tab w:val="clear" w:pos="8640"/>
      </w:tabs>
    </w:pPr>
    <w:r>
      <w:rPr>
        <w:noProof/>
      </w:rPr>
      <w:drawing>
        <wp:anchor distT="0" distB="0" distL="114300" distR="114300" simplePos="0" relativeHeight="251670528" behindDoc="1" locked="0" layoutInCell="1" allowOverlap="1" wp14:anchorId="07265E78" wp14:editId="3EF599E8">
          <wp:simplePos x="0" y="0"/>
          <wp:positionH relativeFrom="column">
            <wp:posOffset>-914400</wp:posOffset>
          </wp:positionH>
          <wp:positionV relativeFrom="paragraph">
            <wp:posOffset>15875</wp:posOffset>
          </wp:positionV>
          <wp:extent cx="7772400" cy="820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8D45" w14:textId="0ADB43BE" w:rsidR="00276B5C" w:rsidRPr="007F37FA" w:rsidRDefault="00207152" w:rsidP="00467618">
    <w:pPr>
      <w:ind w:right="-900"/>
      <w:jc w:val="right"/>
      <w:rPr>
        <w:rFonts w:ascii="Arial" w:hAnsi="Arial"/>
        <w:color w:val="808080" w:themeColor="background1" w:themeShade="80"/>
        <w:sz w:val="12"/>
        <w:szCs w:val="12"/>
      </w:rPr>
    </w:pPr>
    <w:r>
      <w:rPr>
        <w:rFonts w:ascii="Arial" w:hAnsi="Arial" w:cs="Times New Roman"/>
        <w:color w:val="808080" w:themeColor="background1" w:themeShade="80"/>
        <w:sz w:val="12"/>
        <w:szCs w:val="12"/>
      </w:rPr>
      <w:t>2</w:t>
    </w:r>
    <w:r w:rsidR="00651711">
      <w:rPr>
        <w:rFonts w:ascii="Arial" w:hAnsi="Arial" w:cs="Times New Roman"/>
        <w:color w:val="808080" w:themeColor="background1" w:themeShade="80"/>
        <w:sz w:val="12"/>
        <w:szCs w:val="12"/>
      </w:rPr>
      <w:t>017</w:t>
    </w:r>
  </w:p>
  <w:p w14:paraId="4A04E6E4" w14:textId="5966B99B" w:rsidR="00276B5C" w:rsidRDefault="00276B5C">
    <w:pPr>
      <w:pStyle w:val="Footer"/>
    </w:pPr>
    <w:r>
      <w:rPr>
        <w:noProof/>
      </w:rPr>
      <w:drawing>
        <wp:anchor distT="0" distB="0" distL="114300" distR="114300" simplePos="0" relativeHeight="251669504" behindDoc="1" locked="0" layoutInCell="1" allowOverlap="1" wp14:anchorId="20A1AA75" wp14:editId="2552A74A">
          <wp:simplePos x="0" y="0"/>
          <wp:positionH relativeFrom="column">
            <wp:posOffset>-914400</wp:posOffset>
          </wp:positionH>
          <wp:positionV relativeFrom="paragraph">
            <wp:posOffset>16510</wp:posOffset>
          </wp:positionV>
          <wp:extent cx="7772400"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D5BF3" w14:textId="77777777" w:rsidR="00D57ADD" w:rsidRDefault="00D57ADD" w:rsidP="00996F27">
      <w:r>
        <w:separator/>
      </w:r>
    </w:p>
  </w:footnote>
  <w:footnote w:type="continuationSeparator" w:id="0">
    <w:p w14:paraId="30EB9170" w14:textId="77777777" w:rsidR="00D57ADD" w:rsidRDefault="00D57ADD" w:rsidP="00996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E22E" w14:textId="17C04383" w:rsidR="00276B5C" w:rsidRPr="00207152" w:rsidRDefault="008F5392" w:rsidP="00CE71C1">
    <w:pPr>
      <w:jc w:val="right"/>
      <w:rPr>
        <w:rFonts w:ascii="Century Gothic" w:hAnsi="Century Gothic"/>
        <w:sz w:val="20"/>
        <w:szCs w:val="20"/>
      </w:rPr>
    </w:pPr>
    <w:r w:rsidRPr="00207152">
      <w:rPr>
        <w:rFonts w:ascii="Century Gothic" w:hAnsi="Century Gothic"/>
        <w:sz w:val="20"/>
        <w:szCs w:val="20"/>
      </w:rPr>
      <w:t>Setting the Charge</w:t>
    </w:r>
  </w:p>
  <w:p w14:paraId="106BC9FB" w14:textId="01F8F648" w:rsidR="00276B5C" w:rsidRPr="00CD7A0E" w:rsidRDefault="00276B5C" w:rsidP="00CD7A0E">
    <w:pPr>
      <w:pStyle w:val="Header"/>
      <w:jc w:val="righ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276B5C" w14:paraId="0C469AE9" w14:textId="77777777" w:rsidTr="00CE71C1">
      <w:tc>
        <w:tcPr>
          <w:tcW w:w="7740" w:type="dxa"/>
        </w:tcPr>
        <w:p w14:paraId="731BCAF9" w14:textId="2DFF02C6" w:rsidR="00276B5C" w:rsidRPr="008F5392" w:rsidRDefault="008F5392" w:rsidP="008F5392">
          <w:pPr>
            <w:tabs>
              <w:tab w:val="left" w:pos="7200"/>
            </w:tabs>
            <w:spacing w:before="60" w:after="60"/>
            <w:ind w:right="432"/>
            <w:rPr>
              <w:rFonts w:ascii="Century Gothic" w:hAnsi="Century Gothic"/>
              <w:b/>
              <w:sz w:val="36"/>
              <w:szCs w:val="36"/>
            </w:rPr>
          </w:pPr>
          <w:r>
            <w:rPr>
              <w:rFonts w:ascii="Century Gothic" w:hAnsi="Century Gothic"/>
              <w:b/>
              <w:sz w:val="36"/>
              <w:szCs w:val="36"/>
            </w:rPr>
            <w:br/>
          </w:r>
          <w:r w:rsidR="00276B5C">
            <w:rPr>
              <w:rFonts w:ascii="Century Gothic" w:hAnsi="Century Gothic"/>
              <w:b/>
              <w:noProof/>
              <w:sz w:val="36"/>
              <w:szCs w:val="36"/>
            </w:rPr>
            <w:drawing>
              <wp:anchor distT="0" distB="0" distL="114300" distR="114300" simplePos="0" relativeHeight="251671552" behindDoc="1" locked="0" layoutInCell="1" allowOverlap="1" wp14:anchorId="76536764" wp14:editId="7F53D73C">
                <wp:simplePos x="0" y="0"/>
                <wp:positionH relativeFrom="column">
                  <wp:posOffset>4874260</wp:posOffset>
                </wp:positionH>
                <wp:positionV relativeFrom="paragraph">
                  <wp:posOffset>-457200</wp:posOffset>
                </wp:positionV>
                <wp:extent cx="1983740" cy="10972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36"/>
              <w:szCs w:val="36"/>
            </w:rPr>
            <w:t>Setting the Charge</w:t>
          </w:r>
        </w:p>
      </w:tc>
    </w:tr>
  </w:tbl>
  <w:p w14:paraId="6F0556D0" w14:textId="0E70B2E3" w:rsidR="00276B5C" w:rsidRPr="00937DC6" w:rsidRDefault="00276B5C" w:rsidP="00493563">
    <w:pPr>
      <w:pStyle w:val="Header"/>
      <w:tabs>
        <w:tab w:val="clear" w:pos="4320"/>
        <w:tab w:val="clear" w:pos="8640"/>
      </w:tabs>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35F"/>
    <w:multiLevelType w:val="hybridMultilevel"/>
    <w:tmpl w:val="9056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E5419"/>
    <w:multiLevelType w:val="hybridMultilevel"/>
    <w:tmpl w:val="827C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47FF6"/>
    <w:multiLevelType w:val="hybridMultilevel"/>
    <w:tmpl w:val="D0FE3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489261A6">
      <w:numFmt w:val="bullet"/>
      <w:lvlText w:val="-"/>
      <w:lvlJc w:val="left"/>
      <w:pPr>
        <w:ind w:left="2880" w:hanging="360"/>
      </w:pPr>
      <w:rPr>
        <w:rFonts w:ascii="Century Gothic" w:eastAsiaTheme="minorEastAsia" w:hAnsi="Century Gothic"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D314F"/>
    <w:multiLevelType w:val="hybridMultilevel"/>
    <w:tmpl w:val="9EB6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43BF0"/>
    <w:multiLevelType w:val="hybridMultilevel"/>
    <w:tmpl w:val="13A04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050C6"/>
    <w:multiLevelType w:val="hybridMultilevel"/>
    <w:tmpl w:val="1014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50391"/>
    <w:multiLevelType w:val="hybridMultilevel"/>
    <w:tmpl w:val="ED9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374BC0"/>
    <w:multiLevelType w:val="hybridMultilevel"/>
    <w:tmpl w:val="9FF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84D68"/>
    <w:multiLevelType w:val="hybridMultilevel"/>
    <w:tmpl w:val="7904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0"/>
    <w:rsid w:val="000C51CD"/>
    <w:rsid w:val="000C5A1A"/>
    <w:rsid w:val="001368D6"/>
    <w:rsid w:val="00136D29"/>
    <w:rsid w:val="00163353"/>
    <w:rsid w:val="00185FE2"/>
    <w:rsid w:val="00195F40"/>
    <w:rsid w:val="001D348F"/>
    <w:rsid w:val="001D7F4A"/>
    <w:rsid w:val="00207152"/>
    <w:rsid w:val="00207535"/>
    <w:rsid w:val="00276B5C"/>
    <w:rsid w:val="002833D3"/>
    <w:rsid w:val="002A5F47"/>
    <w:rsid w:val="002F5162"/>
    <w:rsid w:val="003120B9"/>
    <w:rsid w:val="003212E4"/>
    <w:rsid w:val="00380673"/>
    <w:rsid w:val="003A7B33"/>
    <w:rsid w:val="003F64AE"/>
    <w:rsid w:val="0040070A"/>
    <w:rsid w:val="00467618"/>
    <w:rsid w:val="004879FF"/>
    <w:rsid w:val="00493563"/>
    <w:rsid w:val="004A2BDD"/>
    <w:rsid w:val="004B0EA0"/>
    <w:rsid w:val="004C0E19"/>
    <w:rsid w:val="004E0033"/>
    <w:rsid w:val="00530B30"/>
    <w:rsid w:val="00533C64"/>
    <w:rsid w:val="00592E03"/>
    <w:rsid w:val="005C402C"/>
    <w:rsid w:val="005E0FA3"/>
    <w:rsid w:val="005E44F4"/>
    <w:rsid w:val="00643DCF"/>
    <w:rsid w:val="006446F5"/>
    <w:rsid w:val="00651711"/>
    <w:rsid w:val="0067700D"/>
    <w:rsid w:val="006B23F7"/>
    <w:rsid w:val="006D095F"/>
    <w:rsid w:val="00702BF5"/>
    <w:rsid w:val="00725AB2"/>
    <w:rsid w:val="00726722"/>
    <w:rsid w:val="007C5FEF"/>
    <w:rsid w:val="007C7998"/>
    <w:rsid w:val="007F37FA"/>
    <w:rsid w:val="008013DD"/>
    <w:rsid w:val="00840AE6"/>
    <w:rsid w:val="00884752"/>
    <w:rsid w:val="008E1F39"/>
    <w:rsid w:val="008F227A"/>
    <w:rsid w:val="008F5392"/>
    <w:rsid w:val="00937DC6"/>
    <w:rsid w:val="00965FBA"/>
    <w:rsid w:val="0099290C"/>
    <w:rsid w:val="00996F27"/>
    <w:rsid w:val="009A0513"/>
    <w:rsid w:val="009A7905"/>
    <w:rsid w:val="009C2767"/>
    <w:rsid w:val="009D2EB7"/>
    <w:rsid w:val="009D73DA"/>
    <w:rsid w:val="009E4D1D"/>
    <w:rsid w:val="009E604F"/>
    <w:rsid w:val="00A7007E"/>
    <w:rsid w:val="00AA1AB6"/>
    <w:rsid w:val="00AF1564"/>
    <w:rsid w:val="00B01D70"/>
    <w:rsid w:val="00B51FA4"/>
    <w:rsid w:val="00B52920"/>
    <w:rsid w:val="00B911FF"/>
    <w:rsid w:val="00BD1903"/>
    <w:rsid w:val="00BD3913"/>
    <w:rsid w:val="00BF5D3D"/>
    <w:rsid w:val="00C41EFF"/>
    <w:rsid w:val="00CD7A0E"/>
    <w:rsid w:val="00CE71C1"/>
    <w:rsid w:val="00D12527"/>
    <w:rsid w:val="00D34D64"/>
    <w:rsid w:val="00D57ADD"/>
    <w:rsid w:val="00DC11FB"/>
    <w:rsid w:val="00DE350D"/>
    <w:rsid w:val="00DE783C"/>
    <w:rsid w:val="00DF6068"/>
    <w:rsid w:val="00E64EA0"/>
    <w:rsid w:val="00E76AD8"/>
    <w:rsid w:val="00EB6023"/>
    <w:rsid w:val="00EC77A8"/>
    <w:rsid w:val="00F04356"/>
    <w:rsid w:val="00F54348"/>
    <w:rsid w:val="00F964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7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5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paragraph" w:styleId="CommentText">
    <w:name w:val="annotation text"/>
    <w:basedOn w:val="Normal"/>
    <w:link w:val="CommentTextChar"/>
    <w:uiPriority w:val="99"/>
    <w:semiHidden/>
    <w:unhideWhenUsed/>
    <w:rsid w:val="00C41EFF"/>
  </w:style>
  <w:style w:type="character" w:customStyle="1" w:styleId="CommentTextChar">
    <w:name w:val="Comment Text Char"/>
    <w:basedOn w:val="DefaultParagraphFont"/>
    <w:link w:val="CommentText"/>
    <w:uiPriority w:val="99"/>
    <w:semiHidden/>
    <w:rsid w:val="00C41EFF"/>
    <w:rPr>
      <w:rFonts w:ascii="Cambria" w:hAnsi="Cambria"/>
    </w:rPr>
  </w:style>
  <w:style w:type="paragraph" w:styleId="CommentSubject">
    <w:name w:val="annotation subject"/>
    <w:basedOn w:val="CommentText"/>
    <w:next w:val="CommentText"/>
    <w:link w:val="CommentSubjectChar"/>
    <w:uiPriority w:val="99"/>
    <w:semiHidden/>
    <w:unhideWhenUsed/>
    <w:rsid w:val="00C41EFF"/>
    <w:rPr>
      <w:b/>
      <w:bCs/>
      <w:sz w:val="20"/>
      <w:szCs w:val="20"/>
    </w:rPr>
  </w:style>
  <w:style w:type="character" w:customStyle="1" w:styleId="CommentSubjectChar">
    <w:name w:val="Comment Subject Char"/>
    <w:basedOn w:val="CommentTextChar"/>
    <w:link w:val="CommentSubject"/>
    <w:uiPriority w:val="99"/>
    <w:semiHidden/>
    <w:rsid w:val="00C41EFF"/>
    <w:rPr>
      <w:rFonts w:ascii="Cambria" w:hAnsi="Cambria"/>
      <w:b/>
      <w:bCs/>
      <w:sz w:val="20"/>
      <w:szCs w:val="20"/>
    </w:rPr>
  </w:style>
  <w:style w:type="paragraph" w:styleId="Revision">
    <w:name w:val="Revision"/>
    <w:hidden/>
    <w:uiPriority w:val="99"/>
    <w:semiHidden/>
    <w:rsid w:val="00C41EFF"/>
    <w:rPr>
      <w:rFonts w:ascii="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5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paragraph" w:styleId="CommentText">
    <w:name w:val="annotation text"/>
    <w:basedOn w:val="Normal"/>
    <w:link w:val="CommentTextChar"/>
    <w:uiPriority w:val="99"/>
    <w:semiHidden/>
    <w:unhideWhenUsed/>
    <w:rsid w:val="00C41EFF"/>
  </w:style>
  <w:style w:type="character" w:customStyle="1" w:styleId="CommentTextChar">
    <w:name w:val="Comment Text Char"/>
    <w:basedOn w:val="DefaultParagraphFont"/>
    <w:link w:val="CommentText"/>
    <w:uiPriority w:val="99"/>
    <w:semiHidden/>
    <w:rsid w:val="00C41EFF"/>
    <w:rPr>
      <w:rFonts w:ascii="Cambria" w:hAnsi="Cambria"/>
    </w:rPr>
  </w:style>
  <w:style w:type="paragraph" w:styleId="CommentSubject">
    <w:name w:val="annotation subject"/>
    <w:basedOn w:val="CommentText"/>
    <w:next w:val="CommentText"/>
    <w:link w:val="CommentSubjectChar"/>
    <w:uiPriority w:val="99"/>
    <w:semiHidden/>
    <w:unhideWhenUsed/>
    <w:rsid w:val="00C41EFF"/>
    <w:rPr>
      <w:b/>
      <w:bCs/>
      <w:sz w:val="20"/>
      <w:szCs w:val="20"/>
    </w:rPr>
  </w:style>
  <w:style w:type="character" w:customStyle="1" w:styleId="CommentSubjectChar">
    <w:name w:val="Comment Subject Char"/>
    <w:basedOn w:val="CommentTextChar"/>
    <w:link w:val="CommentSubject"/>
    <w:uiPriority w:val="99"/>
    <w:semiHidden/>
    <w:rsid w:val="00C41EFF"/>
    <w:rPr>
      <w:rFonts w:ascii="Cambria" w:hAnsi="Cambria"/>
      <w:b/>
      <w:bCs/>
      <w:sz w:val="20"/>
      <w:szCs w:val="20"/>
    </w:rPr>
  </w:style>
  <w:style w:type="paragraph" w:styleId="Revision">
    <w:name w:val="Revision"/>
    <w:hidden/>
    <w:uiPriority w:val="99"/>
    <w:semiHidden/>
    <w:rsid w:val="00C41EFF"/>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MP (UT Colors)">
      <a:dk1>
        <a:srgbClr val="333F48"/>
      </a:dk1>
      <a:lt1>
        <a:sysClr val="window" lastClr="FFFFFF"/>
      </a:lt1>
      <a:dk2>
        <a:srgbClr val="BF5700"/>
      </a:dk2>
      <a:lt2>
        <a:srgbClr val="D6D2C4"/>
      </a:lt2>
      <a:accent1>
        <a:srgbClr val="333F48"/>
      </a:accent1>
      <a:accent2>
        <a:srgbClr val="005F86"/>
      </a:accent2>
      <a:accent3>
        <a:srgbClr val="43695B"/>
      </a:accent3>
      <a:accent4>
        <a:srgbClr val="F2A900"/>
      </a:accent4>
      <a:accent5>
        <a:srgbClr val="382F2D"/>
      </a:accent5>
      <a:accent6>
        <a:srgbClr val="D6D2C4"/>
      </a:accent6>
      <a:hlink>
        <a:srgbClr val="BF5700"/>
      </a:hlink>
      <a:folHlink>
        <a:srgbClr val="BF570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Seifert</dc:creator>
  <cp:keywords/>
  <dc:description/>
  <cp:lastModifiedBy>Heather Ortiz</cp:lastModifiedBy>
  <cp:revision>2</cp:revision>
  <cp:lastPrinted>2016-09-29T17:32:00Z</cp:lastPrinted>
  <dcterms:created xsi:type="dcterms:W3CDTF">2017-09-03T14:14:00Z</dcterms:created>
  <dcterms:modified xsi:type="dcterms:W3CDTF">2017-09-03T14:14:00Z</dcterms:modified>
</cp:coreProperties>
</file>