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66167" w14:textId="77777777" w:rsidR="003509FE" w:rsidRDefault="003509FE" w:rsidP="003509FE">
      <w:pPr>
        <w:pStyle w:val="NoSpacing"/>
        <w:spacing w:before="120" w:after="120"/>
        <w:rPr>
          <w:rFonts w:ascii="Cambria" w:hAnsi="Cambria"/>
        </w:rPr>
      </w:pPr>
      <w:bookmarkStart w:id="0" w:name="_GoBack"/>
      <w:bookmarkEnd w:id="0"/>
      <w:r w:rsidRPr="00B647A2">
        <w:rPr>
          <w:rFonts w:ascii="Century Gothic" w:hAnsi="Century Gothic"/>
          <w:b/>
        </w:rPr>
        <w:t xml:space="preserve">Purpose: </w:t>
      </w:r>
      <w:r>
        <w:rPr>
          <w:rFonts w:ascii="Cambria" w:hAnsi="Cambria"/>
        </w:rPr>
        <w:t>T</w:t>
      </w:r>
      <w:r w:rsidRPr="00B647A2">
        <w:rPr>
          <w:rFonts w:ascii="Cambria" w:hAnsi="Cambria"/>
        </w:rPr>
        <w:t xml:space="preserve">his </w:t>
      </w:r>
      <w:r>
        <w:rPr>
          <w:rFonts w:ascii="Cambria" w:hAnsi="Cambria"/>
        </w:rPr>
        <w:t>activity</w:t>
      </w:r>
      <w:r w:rsidRPr="00B647A2">
        <w:rPr>
          <w:rFonts w:ascii="Cambria" w:hAnsi="Cambria"/>
        </w:rPr>
        <w:t xml:space="preserve"> is</w:t>
      </w:r>
      <w:r>
        <w:rPr>
          <w:rFonts w:ascii="Cambria" w:hAnsi="Cambria"/>
        </w:rPr>
        <w:t xml:space="preserve"> designed</w:t>
      </w:r>
      <w:r w:rsidRPr="00B647A2">
        <w:rPr>
          <w:rFonts w:ascii="Cambria" w:hAnsi="Cambria"/>
        </w:rPr>
        <w:t xml:space="preserve"> to </w:t>
      </w:r>
      <w:r>
        <w:rPr>
          <w:rFonts w:ascii="Cambria" w:hAnsi="Cambria"/>
        </w:rPr>
        <w:t>model a process that</w:t>
      </w:r>
      <w:r w:rsidRPr="00B647A2">
        <w:rPr>
          <w:rFonts w:ascii="Cambria" w:hAnsi="Cambria"/>
        </w:rPr>
        <w:t xml:space="preserve"> you</w:t>
      </w:r>
      <w:r>
        <w:rPr>
          <w:rFonts w:ascii="Cambria" w:hAnsi="Cambria"/>
        </w:rPr>
        <w:t>r institutional team can use to</w:t>
      </w:r>
      <w:r w:rsidRPr="00B647A2">
        <w:rPr>
          <w:rFonts w:ascii="Cambria" w:hAnsi="Cambria"/>
        </w:rPr>
        <w:t xml:space="preserve"> create a vision for scaling math pathways. </w:t>
      </w:r>
    </w:p>
    <w:p w14:paraId="70D3874E" w14:textId="77777777" w:rsidR="003509FE" w:rsidRPr="0058669D" w:rsidRDefault="003509FE" w:rsidP="003509FE">
      <w:pPr>
        <w:pStyle w:val="NoSpacing"/>
        <w:spacing w:before="120" w:after="120"/>
        <w:rPr>
          <w:rFonts w:ascii="Century Gothic" w:hAnsi="Century Gothic"/>
          <w:b/>
        </w:rPr>
      </w:pPr>
      <w:r>
        <w:rPr>
          <w:rFonts w:ascii="Cambria" w:hAnsi="Cambria"/>
        </w:rPr>
        <w:t xml:space="preserve">In the workshop setting, you will have to make rough estimates for some of the data. </w:t>
      </w:r>
      <w:r w:rsidRPr="00BB2AB0">
        <w:rPr>
          <w:rFonts w:ascii="Cambria" w:hAnsi="Cambria"/>
          <w:b/>
        </w:rPr>
        <w:t>If you are not comfortable with this</w:t>
      </w:r>
      <w:r>
        <w:rPr>
          <w:rFonts w:ascii="Cambria" w:hAnsi="Cambria"/>
        </w:rPr>
        <w:t xml:space="preserve">, you can ask the facilitator for a </w:t>
      </w:r>
      <w:r>
        <w:rPr>
          <w:rFonts w:ascii="Cambria" w:hAnsi="Cambria"/>
          <w:i/>
        </w:rPr>
        <w:t>scenario card</w:t>
      </w:r>
      <w:r>
        <w:rPr>
          <w:rFonts w:ascii="Cambria" w:hAnsi="Cambria"/>
        </w:rPr>
        <w:t xml:space="preserve"> with national data that you can use to practice the process.</w:t>
      </w:r>
    </w:p>
    <w:p w14:paraId="7DFAA1D6" w14:textId="77777777" w:rsidR="003509FE" w:rsidRPr="00B647A2" w:rsidRDefault="003509FE" w:rsidP="003509FE">
      <w:pPr>
        <w:pStyle w:val="NoSpacing"/>
        <w:spacing w:before="120" w:after="120"/>
        <w:contextualSpacing/>
        <w:rPr>
          <w:rFonts w:ascii="Century Gothic" w:hAnsi="Century Gothic"/>
          <w:b/>
        </w:rPr>
      </w:pPr>
    </w:p>
    <w:p w14:paraId="131F7B2B" w14:textId="799EDF42" w:rsidR="003509FE" w:rsidRPr="00B647A2" w:rsidRDefault="003509FE" w:rsidP="003509FE">
      <w:pPr>
        <w:pStyle w:val="NoSpacing"/>
        <w:spacing w:before="120" w:after="120"/>
        <w:rPr>
          <w:rFonts w:ascii="Century Gothic" w:hAnsi="Century Gothic"/>
          <w:b/>
        </w:rPr>
      </w:pPr>
      <w:r w:rsidRPr="00B647A2">
        <w:rPr>
          <w:rFonts w:ascii="Century Gothic" w:hAnsi="Century Gothic"/>
          <w:b/>
        </w:rPr>
        <w:t xml:space="preserve">Getting </w:t>
      </w:r>
      <w:r w:rsidR="00D4333E">
        <w:rPr>
          <w:rFonts w:ascii="Century Gothic" w:hAnsi="Century Gothic"/>
          <w:b/>
        </w:rPr>
        <w:t>s</w:t>
      </w:r>
      <w:r w:rsidRPr="00B647A2">
        <w:rPr>
          <w:rFonts w:ascii="Century Gothic" w:hAnsi="Century Gothic"/>
          <w:b/>
        </w:rPr>
        <w:t xml:space="preserve">tarted: Developing </w:t>
      </w:r>
      <w:r w:rsidR="00D4333E">
        <w:rPr>
          <w:rFonts w:ascii="Century Gothic" w:hAnsi="Century Gothic"/>
          <w:b/>
        </w:rPr>
        <w:t>h</w:t>
      </w:r>
      <w:r w:rsidRPr="00B647A2">
        <w:rPr>
          <w:rFonts w:ascii="Century Gothic" w:hAnsi="Century Gothic"/>
          <w:b/>
        </w:rPr>
        <w:t xml:space="preserve">ypotheses </w:t>
      </w:r>
      <w:r w:rsidR="00D4333E">
        <w:rPr>
          <w:rFonts w:ascii="Century Gothic" w:hAnsi="Century Gothic"/>
          <w:b/>
        </w:rPr>
        <w:t>a</w:t>
      </w:r>
      <w:r w:rsidRPr="00B647A2">
        <w:rPr>
          <w:rFonts w:ascii="Century Gothic" w:hAnsi="Century Gothic"/>
          <w:b/>
        </w:rPr>
        <w:t xml:space="preserve">bout </w:t>
      </w:r>
      <w:r w:rsidR="00D4333E">
        <w:rPr>
          <w:rFonts w:ascii="Century Gothic" w:hAnsi="Century Gothic"/>
          <w:b/>
        </w:rPr>
        <w:t>s</w:t>
      </w:r>
      <w:r w:rsidRPr="00B647A2">
        <w:rPr>
          <w:rFonts w:ascii="Century Gothic" w:hAnsi="Century Gothic"/>
          <w:b/>
        </w:rPr>
        <w:t>cale</w:t>
      </w:r>
    </w:p>
    <w:p w14:paraId="5EE7DA97" w14:textId="0839337A" w:rsidR="00D4333E" w:rsidRPr="00B5546B" w:rsidRDefault="003509FE" w:rsidP="003509FE">
      <w:pPr>
        <w:pStyle w:val="NoSpacing"/>
        <w:spacing w:after="120"/>
        <w:rPr>
          <w:rFonts w:ascii="Cambria" w:hAnsi="Cambria" w:cs="Calibri"/>
        </w:rPr>
      </w:pPr>
      <w:r w:rsidRPr="00433C29">
        <w:rPr>
          <w:rFonts w:ascii="Cambria" w:hAnsi="Cambria" w:cs="Calibri"/>
        </w:rPr>
        <w:t xml:space="preserve">Use the </w:t>
      </w:r>
      <w:r w:rsidR="00843597">
        <w:rPr>
          <w:rFonts w:ascii="Cambria" w:hAnsi="Cambria" w:cs="Calibri"/>
        </w:rPr>
        <w:t>Goals</w:t>
      </w:r>
      <w:r w:rsidRPr="00433C29">
        <w:rPr>
          <w:rFonts w:ascii="Cambria" w:hAnsi="Cambria" w:cs="Calibri"/>
        </w:rPr>
        <w:t xml:space="preserve"> for Scale worksheet to complete the following steps.</w:t>
      </w:r>
    </w:p>
    <w:p w14:paraId="4E181F9E" w14:textId="77777777" w:rsidR="003509FE" w:rsidRPr="00433C29" w:rsidRDefault="003509FE" w:rsidP="00B5546B">
      <w:pPr>
        <w:pStyle w:val="NoSpacing"/>
        <w:spacing w:before="160" w:after="120"/>
        <w:rPr>
          <w:rFonts w:ascii="Cambria" w:hAnsi="Cambria" w:cs="Calibri"/>
          <w:b/>
        </w:rPr>
      </w:pPr>
      <w:r w:rsidRPr="00433C29">
        <w:rPr>
          <w:rFonts w:ascii="Cambria" w:hAnsi="Cambria" w:cs="Calibri"/>
          <w:b/>
        </w:rPr>
        <w:t xml:space="preserve">Step 1: Define the ideal alignment of mathematics pathways to programs of study. </w:t>
      </w:r>
    </w:p>
    <w:p w14:paraId="0E81CAB1" w14:textId="77777777" w:rsidR="003509FE" w:rsidRPr="00433C29" w:rsidRDefault="003509FE" w:rsidP="003509FE">
      <w:pPr>
        <w:pStyle w:val="NoSpacing"/>
        <w:tabs>
          <w:tab w:val="left" w:pos="1080"/>
        </w:tabs>
        <w:spacing w:after="120"/>
        <w:ind w:left="360" w:hanging="360"/>
        <w:rPr>
          <w:rFonts w:ascii="Cambria" w:hAnsi="Cambria" w:cs="Calibri"/>
        </w:rPr>
      </w:pPr>
      <w:r w:rsidRPr="00433C29">
        <w:rPr>
          <w:rFonts w:ascii="Cambria" w:hAnsi="Cambria" w:cs="Calibri"/>
        </w:rPr>
        <w:t xml:space="preserve">1A. List the math pathways you have or intend to implement in the gray boxes below (e.g., statistics pathway, college algebra/calculus pathway, tech math). </w:t>
      </w:r>
    </w:p>
    <w:p w14:paraId="2449970F" w14:textId="784476E4" w:rsidR="003509FE" w:rsidRPr="00433C29" w:rsidRDefault="003509FE" w:rsidP="003509FE">
      <w:pPr>
        <w:pStyle w:val="NoSpacing"/>
        <w:tabs>
          <w:tab w:val="left" w:pos="1080"/>
        </w:tabs>
        <w:spacing w:after="120"/>
        <w:ind w:left="360" w:hanging="360"/>
        <w:rPr>
          <w:rFonts w:ascii="Cambria" w:hAnsi="Cambria" w:cs="Calibri"/>
        </w:rPr>
      </w:pPr>
      <w:r w:rsidRPr="00433C29">
        <w:rPr>
          <w:rFonts w:ascii="Cambria" w:hAnsi="Cambria" w:cs="Calibri"/>
        </w:rPr>
        <w:t xml:space="preserve">1B. List the programs of study that you believe would be best served by each math pathway. </w:t>
      </w:r>
      <w:r w:rsidRPr="00741BBC">
        <w:rPr>
          <w:rFonts w:ascii="Cambria" w:hAnsi="Cambria" w:cs="Calibri"/>
          <w:u w:val="single"/>
        </w:rPr>
        <w:t xml:space="preserve">This </w:t>
      </w:r>
      <w:r w:rsidR="00B5546B" w:rsidRPr="00741BBC">
        <w:rPr>
          <w:rFonts w:ascii="Cambria" w:hAnsi="Cambria" w:cs="Calibri"/>
          <w:u w:val="single"/>
        </w:rPr>
        <w:t xml:space="preserve">list </w:t>
      </w:r>
      <w:r w:rsidRPr="00741BBC">
        <w:rPr>
          <w:rFonts w:ascii="Cambria" w:hAnsi="Cambria" w:cs="Calibri"/>
          <w:u w:val="single"/>
        </w:rPr>
        <w:t>should not merely reflect current requirements</w:t>
      </w:r>
      <w:r w:rsidRPr="004D11C6">
        <w:rPr>
          <w:rFonts w:ascii="Cambria" w:hAnsi="Cambria" w:cs="Calibri"/>
        </w:rPr>
        <w:t>.</w:t>
      </w:r>
      <w:r w:rsidRPr="00433C29">
        <w:rPr>
          <w:rFonts w:ascii="Cambria" w:hAnsi="Cambria" w:cs="Calibri"/>
        </w:rPr>
        <w:t xml:space="preserve"> Your predictions about the appropriate pathway may or may not reflect current requirements on your campus. For example, you might list nursing in the statistics column, even though it currently has a college algebra requirement. Or </w:t>
      </w:r>
      <w:r w:rsidR="00B645EC">
        <w:rPr>
          <w:rFonts w:ascii="Cambria" w:hAnsi="Cambria" w:cs="Calibri"/>
        </w:rPr>
        <w:t xml:space="preserve">for </w:t>
      </w:r>
      <w:r w:rsidRPr="00433C29">
        <w:rPr>
          <w:rFonts w:ascii="Cambria" w:hAnsi="Cambria" w:cs="Calibri"/>
        </w:rPr>
        <w:t xml:space="preserve">a communications program </w:t>
      </w:r>
      <w:r w:rsidR="00B645EC">
        <w:rPr>
          <w:rFonts w:ascii="Cambria" w:hAnsi="Cambria" w:cs="Calibri"/>
        </w:rPr>
        <w:t xml:space="preserve">that </w:t>
      </w:r>
      <w:r w:rsidRPr="00433C29">
        <w:rPr>
          <w:rFonts w:ascii="Cambria" w:hAnsi="Cambria" w:cs="Calibri"/>
        </w:rPr>
        <w:t>currently allow</w:t>
      </w:r>
      <w:r w:rsidR="00B645EC">
        <w:rPr>
          <w:rFonts w:ascii="Cambria" w:hAnsi="Cambria" w:cs="Calibri"/>
        </w:rPr>
        <w:t>s</w:t>
      </w:r>
      <w:r w:rsidRPr="00433C29">
        <w:rPr>
          <w:rFonts w:ascii="Cambria" w:hAnsi="Cambria" w:cs="Calibri"/>
        </w:rPr>
        <w:t xml:space="preserve"> any college</w:t>
      </w:r>
      <w:r w:rsidR="00B5546B">
        <w:rPr>
          <w:rFonts w:ascii="Cambria" w:hAnsi="Cambria" w:cs="Calibri"/>
        </w:rPr>
        <w:t>-</w:t>
      </w:r>
      <w:r w:rsidRPr="00433C29">
        <w:rPr>
          <w:rFonts w:ascii="Cambria" w:hAnsi="Cambria" w:cs="Calibri"/>
        </w:rPr>
        <w:t xml:space="preserve">level math course, you might list communication under quantitative reasoning as the </w:t>
      </w:r>
      <w:r w:rsidRPr="00433C29">
        <w:rPr>
          <w:rFonts w:ascii="Cambria" w:hAnsi="Cambria" w:cs="Calibri"/>
          <w:i/>
        </w:rPr>
        <w:t>best</w:t>
      </w:r>
      <w:r w:rsidRPr="00433C29">
        <w:rPr>
          <w:rFonts w:ascii="Cambria" w:hAnsi="Cambria" w:cs="Calibri"/>
        </w:rPr>
        <w:t xml:space="preserve"> option for the program.</w:t>
      </w:r>
    </w:p>
    <w:p w14:paraId="3634DB1D" w14:textId="77777777" w:rsidR="003509FE" w:rsidRPr="00433C29" w:rsidRDefault="003509FE" w:rsidP="003509FE">
      <w:pPr>
        <w:pStyle w:val="NoSpacing"/>
        <w:tabs>
          <w:tab w:val="left" w:pos="1080"/>
        </w:tabs>
        <w:spacing w:after="120"/>
        <w:ind w:left="360" w:hanging="360"/>
        <w:rPr>
          <w:rFonts w:ascii="Cambria" w:hAnsi="Cambria" w:cs="Calibri"/>
        </w:rPr>
      </w:pPr>
      <w:r w:rsidRPr="00433C29">
        <w:rPr>
          <w:rFonts w:ascii="Cambria" w:hAnsi="Cambria" w:cs="Calibri"/>
        </w:rPr>
        <w:t>1C. Circle programs that you have placed in a pathway that is different from the current requirements on your campus.</w:t>
      </w:r>
    </w:p>
    <w:p w14:paraId="24C6B803" w14:textId="77777777" w:rsidR="003509FE" w:rsidRPr="00433C29" w:rsidRDefault="003509FE" w:rsidP="003509FE">
      <w:pPr>
        <w:rPr>
          <w:rFonts w:cs="Calibri"/>
        </w:rPr>
      </w:pPr>
    </w:p>
    <w:p w14:paraId="768E01B6" w14:textId="77777777" w:rsidR="003509FE" w:rsidRPr="00433C29" w:rsidRDefault="003509FE" w:rsidP="00741BBC">
      <w:pPr>
        <w:pStyle w:val="NoSpacing"/>
        <w:spacing w:after="120"/>
        <w:rPr>
          <w:b/>
        </w:rPr>
      </w:pPr>
      <w:r w:rsidRPr="00741BBC">
        <w:rPr>
          <w:rFonts w:ascii="Cambria" w:hAnsi="Cambria" w:cs="Calibri"/>
          <w:b/>
        </w:rPr>
        <w:t>Step 2: Estimate student enrollment in each pathway.</w:t>
      </w:r>
      <w:r w:rsidRPr="00433C29">
        <w:rPr>
          <w:b/>
        </w:rPr>
        <w:t xml:space="preserve"> </w:t>
      </w:r>
    </w:p>
    <w:p w14:paraId="40E48CEB" w14:textId="160C04C0" w:rsidR="003509FE" w:rsidRPr="00433C29" w:rsidRDefault="003509FE" w:rsidP="003509FE">
      <w:pPr>
        <w:pStyle w:val="NoSpacing"/>
        <w:tabs>
          <w:tab w:val="left" w:pos="1080"/>
        </w:tabs>
        <w:spacing w:after="120"/>
        <w:ind w:left="360" w:hanging="360"/>
        <w:rPr>
          <w:rFonts w:ascii="Cambria" w:hAnsi="Cambria" w:cs="Calibri"/>
        </w:rPr>
      </w:pPr>
      <w:r w:rsidRPr="00433C29">
        <w:rPr>
          <w:rFonts w:ascii="Cambria" w:hAnsi="Cambria" w:cs="Calibri"/>
        </w:rPr>
        <w:t xml:space="preserve">2A. Review the list of programs for each math pathway. Approximately what proportion of your student population is enrolled in these programs? For example, the programs under </w:t>
      </w:r>
      <w:r w:rsidR="00B645EC">
        <w:rPr>
          <w:rFonts w:ascii="Cambria" w:hAnsi="Cambria" w:cs="Calibri"/>
        </w:rPr>
        <w:t>c</w:t>
      </w:r>
      <w:r w:rsidRPr="00433C29">
        <w:rPr>
          <w:rFonts w:ascii="Cambria" w:hAnsi="Cambria" w:cs="Calibri"/>
        </w:rPr>
        <w:t xml:space="preserve">ollege </w:t>
      </w:r>
      <w:r w:rsidR="00B645EC">
        <w:rPr>
          <w:rFonts w:ascii="Cambria" w:hAnsi="Cambria" w:cs="Calibri"/>
        </w:rPr>
        <w:t>a</w:t>
      </w:r>
      <w:r w:rsidRPr="00433C29">
        <w:rPr>
          <w:rFonts w:ascii="Cambria" w:hAnsi="Cambria" w:cs="Calibri"/>
        </w:rPr>
        <w:t>lgebra might represent approximately 15% of students</w:t>
      </w:r>
      <w:r w:rsidR="00B645EC">
        <w:rPr>
          <w:rFonts w:ascii="Cambria" w:hAnsi="Cambria" w:cs="Calibri"/>
        </w:rPr>
        <w:t>—this is</w:t>
      </w:r>
      <w:r w:rsidRPr="00433C29">
        <w:rPr>
          <w:rFonts w:ascii="Cambria" w:hAnsi="Cambria" w:cs="Calibri"/>
        </w:rPr>
        <w:t xml:space="preserve"> only </w:t>
      </w:r>
      <w:r w:rsidR="00B645EC">
        <w:rPr>
          <w:rFonts w:ascii="Cambria" w:hAnsi="Cambria" w:cs="Calibri"/>
        </w:rPr>
        <w:t xml:space="preserve">a </w:t>
      </w:r>
      <w:r w:rsidRPr="00433C29">
        <w:rPr>
          <w:rFonts w:ascii="Cambria" w:hAnsi="Cambria" w:cs="Calibri"/>
        </w:rPr>
        <w:t xml:space="preserve">rough estimate. You can get more exact data later. Ask the facilitator for a scenario card </w:t>
      </w:r>
      <w:r w:rsidR="00B645EC">
        <w:rPr>
          <w:rFonts w:ascii="Cambria" w:hAnsi="Cambria" w:cs="Calibri"/>
        </w:rPr>
        <w:t>if</w:t>
      </w:r>
      <w:r w:rsidR="00B645EC" w:rsidRPr="00433C29">
        <w:rPr>
          <w:rFonts w:ascii="Cambria" w:hAnsi="Cambria" w:cs="Calibri"/>
        </w:rPr>
        <w:t xml:space="preserve"> </w:t>
      </w:r>
      <w:r w:rsidRPr="00433C29">
        <w:rPr>
          <w:rFonts w:ascii="Cambria" w:hAnsi="Cambria" w:cs="Calibri"/>
        </w:rPr>
        <w:t xml:space="preserve">you are not comfortable making an estimate. Write your estimated percentage for each pathway in line 2A. </w:t>
      </w:r>
    </w:p>
    <w:p w14:paraId="081C1ADD" w14:textId="489EFDF7" w:rsidR="00B5546B" w:rsidRPr="00433C29" w:rsidRDefault="003509FE" w:rsidP="00B5546B">
      <w:pPr>
        <w:pStyle w:val="NoSpacing"/>
        <w:tabs>
          <w:tab w:val="left" w:pos="1080"/>
        </w:tabs>
        <w:spacing w:after="120"/>
        <w:ind w:left="360" w:hanging="360"/>
        <w:rPr>
          <w:rFonts w:ascii="Cambria" w:hAnsi="Cambria" w:cs="Calibri"/>
        </w:rPr>
      </w:pPr>
      <w:r w:rsidRPr="00433C29">
        <w:rPr>
          <w:rFonts w:ascii="Cambria" w:hAnsi="Cambria" w:cs="Calibri"/>
        </w:rPr>
        <w:t>2B. What is your entering student population? For each pathway, multiply the percentage in line 2A by the total number of entering students you serve each fall. Enter the number of students for each pathway in line 2B.</w:t>
      </w:r>
      <w:r w:rsidR="00B5546B" w:rsidRPr="00B5546B">
        <w:rPr>
          <w:rFonts w:ascii="Cambria" w:hAnsi="Cambria" w:cs="Calibri"/>
        </w:rPr>
        <w:t xml:space="preserve"> </w:t>
      </w:r>
    </w:p>
    <w:p w14:paraId="393F3347" w14:textId="77777777" w:rsidR="00B5546B" w:rsidRPr="00433C29" w:rsidRDefault="00B5546B" w:rsidP="00B5546B">
      <w:pPr>
        <w:rPr>
          <w:rFonts w:cs="Calibri"/>
        </w:rPr>
      </w:pPr>
    </w:p>
    <w:p w14:paraId="54B0CF93" w14:textId="6CC6223B" w:rsidR="003509FE" w:rsidRPr="00B645EC" w:rsidRDefault="003509FE" w:rsidP="00741BBC">
      <w:pPr>
        <w:pStyle w:val="NoSpacing"/>
        <w:tabs>
          <w:tab w:val="left" w:pos="1080"/>
        </w:tabs>
        <w:spacing w:after="120"/>
        <w:ind w:left="360" w:hanging="360"/>
        <w:rPr>
          <w:rFonts w:cs="Calibri"/>
          <w:b/>
        </w:rPr>
      </w:pPr>
      <w:r w:rsidRPr="00741BBC">
        <w:rPr>
          <w:rFonts w:ascii="Cambria" w:hAnsi="Cambria" w:cs="Calibri"/>
          <w:b/>
        </w:rPr>
        <w:t>Step 3: Estimate the institutional capacity to meet student needs.</w:t>
      </w:r>
    </w:p>
    <w:p w14:paraId="1E181751" w14:textId="77777777" w:rsidR="003509FE" w:rsidRPr="00433C29" w:rsidRDefault="003509FE" w:rsidP="003509FE">
      <w:pPr>
        <w:pStyle w:val="NoSpacing"/>
        <w:tabs>
          <w:tab w:val="left" w:pos="1080"/>
        </w:tabs>
        <w:spacing w:after="120"/>
        <w:ind w:left="360" w:hanging="360"/>
        <w:rPr>
          <w:rFonts w:ascii="Cambria" w:hAnsi="Cambria" w:cs="Calibri"/>
        </w:rPr>
      </w:pPr>
      <w:r w:rsidRPr="00433C29">
        <w:rPr>
          <w:rFonts w:ascii="Cambria" w:hAnsi="Cambria" w:cs="Calibri"/>
        </w:rPr>
        <w:t>3A. Estimate the number of sections needed in the fall term to serve each pathway. Enter this number in line 3A.</w:t>
      </w:r>
    </w:p>
    <w:p w14:paraId="1D4EDA1B" w14:textId="77777777" w:rsidR="004D11C6" w:rsidRDefault="003509FE" w:rsidP="004D11C6">
      <w:pPr>
        <w:pStyle w:val="NoSpacing"/>
        <w:spacing w:after="120"/>
        <w:ind w:left="360" w:hanging="360"/>
        <w:rPr>
          <w:rFonts w:ascii="Cambria" w:hAnsi="Cambria" w:cs="Calibri"/>
        </w:rPr>
      </w:pPr>
      <w:r w:rsidRPr="00433C29">
        <w:rPr>
          <w:rFonts w:ascii="Cambria" w:hAnsi="Cambria" w:cs="Calibri"/>
        </w:rPr>
        <w:t>3B. Estimate the number of faculty needed to staff the sections in line 3A. Enter this number in line 3B.</w:t>
      </w:r>
    </w:p>
    <w:p w14:paraId="37372D12" w14:textId="2B061FE9" w:rsidR="003509FE" w:rsidRPr="003E0D4D" w:rsidRDefault="003509FE" w:rsidP="004D11C6">
      <w:pPr>
        <w:pStyle w:val="NoSpacing"/>
        <w:spacing w:after="120"/>
        <w:rPr>
          <w:rFonts w:ascii="Century Gothic" w:hAnsi="Century Gothic"/>
          <w:b/>
        </w:rPr>
      </w:pPr>
      <w:r>
        <w:br w:type="page"/>
      </w:r>
      <w:r w:rsidR="00843597">
        <w:rPr>
          <w:rFonts w:ascii="Century Gothic" w:hAnsi="Century Gothic"/>
          <w:b/>
        </w:rPr>
        <w:lastRenderedPageBreak/>
        <w:t>Goals</w:t>
      </w:r>
      <w:r w:rsidR="007703D8">
        <w:rPr>
          <w:rFonts w:ascii="Century Gothic" w:hAnsi="Century Gothic"/>
          <w:b/>
        </w:rPr>
        <w:t xml:space="preserve"> for scale w</w:t>
      </w:r>
      <w:r w:rsidRPr="003E0D4D">
        <w:rPr>
          <w:rFonts w:ascii="Century Gothic" w:hAnsi="Century Gothic"/>
          <w:b/>
        </w:rPr>
        <w:t>orksheet</w:t>
      </w:r>
    </w:p>
    <w:tbl>
      <w:tblPr>
        <w:tblStyle w:val="TableGrid"/>
        <w:tblW w:w="10152" w:type="dxa"/>
        <w:jc w:val="center"/>
        <w:tblLook w:val="04A0" w:firstRow="1" w:lastRow="0" w:firstColumn="1" w:lastColumn="0" w:noHBand="0" w:noVBand="1"/>
      </w:tblPr>
      <w:tblGrid>
        <w:gridCol w:w="1800"/>
        <w:gridCol w:w="1670"/>
        <w:gridCol w:w="1670"/>
        <w:gridCol w:w="1671"/>
        <w:gridCol w:w="1670"/>
        <w:gridCol w:w="1671"/>
      </w:tblGrid>
      <w:tr w:rsidR="003509FE" w14:paraId="0108F192" w14:textId="77777777" w:rsidTr="004D11C6">
        <w:trPr>
          <w:jc w:val="center"/>
        </w:trPr>
        <w:tc>
          <w:tcPr>
            <w:tcW w:w="1800" w:type="dxa"/>
            <w:tcBorders>
              <w:bottom w:val="single" w:sz="4" w:space="0" w:color="auto"/>
            </w:tcBorders>
            <w:shd w:val="clear" w:color="auto" w:fill="606060"/>
          </w:tcPr>
          <w:p w14:paraId="5AC8E920" w14:textId="77777777" w:rsidR="003509FE" w:rsidRPr="004D11C6" w:rsidRDefault="003509FE" w:rsidP="00027FFB">
            <w:pPr>
              <w:spacing w:before="40" w:after="40"/>
              <w:rPr>
                <w:b/>
                <w:color w:val="FFFFFF" w:themeColor="background1"/>
              </w:rPr>
            </w:pPr>
            <w:r w:rsidRPr="004D11C6">
              <w:rPr>
                <w:b/>
                <w:color w:val="FFFFFF" w:themeColor="background1"/>
              </w:rPr>
              <w:t>Step</w:t>
            </w:r>
          </w:p>
        </w:tc>
        <w:tc>
          <w:tcPr>
            <w:tcW w:w="8352" w:type="dxa"/>
            <w:gridSpan w:val="5"/>
            <w:tcBorders>
              <w:bottom w:val="single" w:sz="4" w:space="0" w:color="auto"/>
            </w:tcBorders>
            <w:shd w:val="clear" w:color="auto" w:fill="606060"/>
          </w:tcPr>
          <w:p w14:paraId="68A44571" w14:textId="77777777" w:rsidR="003509FE" w:rsidRPr="004D11C6" w:rsidRDefault="003509FE" w:rsidP="004D11C6">
            <w:pPr>
              <w:spacing w:before="40" w:after="40"/>
              <w:jc w:val="center"/>
              <w:rPr>
                <w:b/>
                <w:color w:val="FFFFFF" w:themeColor="background1"/>
              </w:rPr>
            </w:pPr>
            <w:r w:rsidRPr="004D11C6">
              <w:rPr>
                <w:b/>
                <w:color w:val="FFFFFF" w:themeColor="background1"/>
              </w:rPr>
              <w:t>Math Pathways</w:t>
            </w:r>
          </w:p>
        </w:tc>
      </w:tr>
      <w:tr w:rsidR="003509FE" w14:paraId="4B384C87" w14:textId="77777777" w:rsidTr="004D11C6">
        <w:trPr>
          <w:jc w:val="center"/>
        </w:trPr>
        <w:tc>
          <w:tcPr>
            <w:tcW w:w="1800" w:type="dxa"/>
            <w:shd w:val="clear" w:color="auto" w:fill="D9D9D9"/>
          </w:tcPr>
          <w:p w14:paraId="4F2828A2" w14:textId="77777777" w:rsidR="003509FE" w:rsidRPr="00B5546B" w:rsidRDefault="003509FE" w:rsidP="00B5546B">
            <w:pPr>
              <w:spacing w:before="120" w:after="120"/>
              <w:rPr>
                <w:sz w:val="20"/>
                <w:szCs w:val="20"/>
              </w:rPr>
            </w:pPr>
            <w:r w:rsidRPr="00B5546B">
              <w:rPr>
                <w:sz w:val="20"/>
                <w:szCs w:val="20"/>
              </w:rPr>
              <w:t>Step 1A.</w:t>
            </w:r>
          </w:p>
          <w:p w14:paraId="52ABAA57" w14:textId="77777777" w:rsidR="003509FE" w:rsidRDefault="003509FE" w:rsidP="00B5546B">
            <w:pPr>
              <w:spacing w:before="120" w:after="120"/>
            </w:pPr>
            <w:r>
              <w:t>Math Pathways</w:t>
            </w:r>
          </w:p>
          <w:p w14:paraId="079239AB" w14:textId="77777777" w:rsidR="003509FE" w:rsidRDefault="003509FE" w:rsidP="00B5546B">
            <w:pPr>
              <w:spacing w:before="120" w:after="120"/>
            </w:pPr>
          </w:p>
          <w:p w14:paraId="1EB2A898" w14:textId="77777777" w:rsidR="004D11C6" w:rsidRDefault="004D11C6" w:rsidP="00B5546B">
            <w:pPr>
              <w:spacing w:before="120" w:after="120"/>
            </w:pPr>
          </w:p>
        </w:tc>
        <w:tc>
          <w:tcPr>
            <w:tcW w:w="1670" w:type="dxa"/>
            <w:shd w:val="clear" w:color="auto" w:fill="D9D9D9"/>
          </w:tcPr>
          <w:p w14:paraId="46FA92A7" w14:textId="77777777" w:rsidR="003509FE" w:rsidRDefault="003509FE" w:rsidP="00D4333E"/>
          <w:p w14:paraId="15D8FCCB" w14:textId="77777777" w:rsidR="003509FE" w:rsidRDefault="003509FE" w:rsidP="00D4333E"/>
        </w:tc>
        <w:tc>
          <w:tcPr>
            <w:tcW w:w="1670" w:type="dxa"/>
            <w:shd w:val="clear" w:color="auto" w:fill="D9D9D9"/>
          </w:tcPr>
          <w:p w14:paraId="4066AF58" w14:textId="77777777" w:rsidR="003509FE" w:rsidRDefault="003509FE" w:rsidP="00D4333E"/>
        </w:tc>
        <w:tc>
          <w:tcPr>
            <w:tcW w:w="1671" w:type="dxa"/>
            <w:shd w:val="clear" w:color="auto" w:fill="D9D9D9"/>
          </w:tcPr>
          <w:p w14:paraId="3E619444" w14:textId="77777777" w:rsidR="003509FE" w:rsidRDefault="003509FE" w:rsidP="00D4333E"/>
        </w:tc>
        <w:tc>
          <w:tcPr>
            <w:tcW w:w="1670" w:type="dxa"/>
            <w:shd w:val="clear" w:color="auto" w:fill="D9D9D9"/>
          </w:tcPr>
          <w:p w14:paraId="4081D19D" w14:textId="77777777" w:rsidR="003509FE" w:rsidRDefault="003509FE" w:rsidP="00D4333E"/>
        </w:tc>
        <w:tc>
          <w:tcPr>
            <w:tcW w:w="1671" w:type="dxa"/>
            <w:shd w:val="clear" w:color="auto" w:fill="D9D9D9"/>
          </w:tcPr>
          <w:p w14:paraId="4F5356DD" w14:textId="77777777" w:rsidR="003509FE" w:rsidRDefault="003509FE" w:rsidP="00D4333E"/>
        </w:tc>
      </w:tr>
      <w:tr w:rsidR="003509FE" w14:paraId="35CB9473" w14:textId="77777777" w:rsidTr="00433C29">
        <w:trPr>
          <w:jc w:val="center"/>
        </w:trPr>
        <w:tc>
          <w:tcPr>
            <w:tcW w:w="1800" w:type="dxa"/>
          </w:tcPr>
          <w:p w14:paraId="49DCB4A1" w14:textId="77777777" w:rsidR="003509FE" w:rsidRPr="00B5546B" w:rsidRDefault="003509FE" w:rsidP="00B5546B">
            <w:pPr>
              <w:spacing w:before="120" w:after="120"/>
              <w:rPr>
                <w:sz w:val="20"/>
                <w:szCs w:val="20"/>
              </w:rPr>
            </w:pPr>
            <w:r w:rsidRPr="00B5546B">
              <w:rPr>
                <w:sz w:val="20"/>
                <w:szCs w:val="20"/>
              </w:rPr>
              <w:t>Step1B.</w:t>
            </w:r>
          </w:p>
          <w:p w14:paraId="50983EB2" w14:textId="77777777" w:rsidR="003509FE" w:rsidRDefault="003509FE" w:rsidP="00B5546B">
            <w:pPr>
              <w:spacing w:before="120" w:after="120"/>
            </w:pPr>
            <w:r>
              <w:t>Programs of Study</w:t>
            </w:r>
          </w:p>
          <w:p w14:paraId="330A594F" w14:textId="77777777" w:rsidR="004D11C6" w:rsidRDefault="004D11C6" w:rsidP="00B5546B">
            <w:pPr>
              <w:spacing w:before="120" w:after="120"/>
            </w:pPr>
          </w:p>
        </w:tc>
        <w:tc>
          <w:tcPr>
            <w:tcW w:w="1670" w:type="dxa"/>
          </w:tcPr>
          <w:p w14:paraId="2F10F6DB" w14:textId="77777777" w:rsidR="003509FE" w:rsidRDefault="003509FE" w:rsidP="00D4333E"/>
          <w:p w14:paraId="38DAEA27" w14:textId="77777777" w:rsidR="003509FE" w:rsidRDefault="003509FE" w:rsidP="00D4333E"/>
        </w:tc>
        <w:tc>
          <w:tcPr>
            <w:tcW w:w="1670" w:type="dxa"/>
          </w:tcPr>
          <w:p w14:paraId="4155B5A8" w14:textId="77777777" w:rsidR="003509FE" w:rsidRDefault="003509FE" w:rsidP="00D4333E"/>
        </w:tc>
        <w:tc>
          <w:tcPr>
            <w:tcW w:w="1671" w:type="dxa"/>
          </w:tcPr>
          <w:p w14:paraId="1026BF8E" w14:textId="77777777" w:rsidR="003509FE" w:rsidRDefault="003509FE" w:rsidP="00D4333E"/>
        </w:tc>
        <w:tc>
          <w:tcPr>
            <w:tcW w:w="1670" w:type="dxa"/>
          </w:tcPr>
          <w:p w14:paraId="398F760A" w14:textId="77777777" w:rsidR="003509FE" w:rsidRDefault="003509FE" w:rsidP="00D4333E"/>
        </w:tc>
        <w:tc>
          <w:tcPr>
            <w:tcW w:w="1671" w:type="dxa"/>
          </w:tcPr>
          <w:p w14:paraId="4FB03419" w14:textId="77777777" w:rsidR="003509FE" w:rsidRDefault="003509FE" w:rsidP="00D4333E"/>
        </w:tc>
      </w:tr>
      <w:tr w:rsidR="003509FE" w14:paraId="6204188E" w14:textId="77777777" w:rsidTr="00433C29">
        <w:trPr>
          <w:jc w:val="center"/>
        </w:trPr>
        <w:tc>
          <w:tcPr>
            <w:tcW w:w="1800" w:type="dxa"/>
          </w:tcPr>
          <w:p w14:paraId="02C4BC0E" w14:textId="77777777" w:rsidR="00B5546B" w:rsidRDefault="003509FE" w:rsidP="00B5546B">
            <w:pPr>
              <w:spacing w:before="120" w:after="120"/>
            </w:pPr>
            <w:r w:rsidRPr="00B5546B">
              <w:rPr>
                <w:sz w:val="20"/>
                <w:szCs w:val="20"/>
              </w:rPr>
              <w:t>Step 2A.</w:t>
            </w:r>
            <w:r>
              <w:t xml:space="preserve"> </w:t>
            </w:r>
          </w:p>
          <w:p w14:paraId="7BAA0143" w14:textId="77777777" w:rsidR="003509FE" w:rsidRDefault="003509FE" w:rsidP="00B5546B">
            <w:pPr>
              <w:spacing w:before="120" w:after="120"/>
            </w:pPr>
            <w:r>
              <w:t>Percentage of Enrollment</w:t>
            </w:r>
          </w:p>
          <w:p w14:paraId="6045BFD6" w14:textId="506F0980" w:rsidR="004D11C6" w:rsidRDefault="004D11C6" w:rsidP="00B5546B">
            <w:pPr>
              <w:spacing w:before="120" w:after="120"/>
            </w:pPr>
          </w:p>
        </w:tc>
        <w:tc>
          <w:tcPr>
            <w:tcW w:w="1670" w:type="dxa"/>
          </w:tcPr>
          <w:p w14:paraId="6EDD6BE0" w14:textId="77777777" w:rsidR="003509FE" w:rsidRDefault="003509FE" w:rsidP="00D4333E"/>
          <w:p w14:paraId="3F80693C" w14:textId="77777777" w:rsidR="003509FE" w:rsidRDefault="003509FE" w:rsidP="00D4333E"/>
        </w:tc>
        <w:tc>
          <w:tcPr>
            <w:tcW w:w="1670" w:type="dxa"/>
          </w:tcPr>
          <w:p w14:paraId="3C51FC30" w14:textId="77777777" w:rsidR="003509FE" w:rsidRDefault="003509FE" w:rsidP="00D4333E"/>
        </w:tc>
        <w:tc>
          <w:tcPr>
            <w:tcW w:w="1671" w:type="dxa"/>
          </w:tcPr>
          <w:p w14:paraId="30448BAA" w14:textId="77777777" w:rsidR="003509FE" w:rsidRDefault="003509FE" w:rsidP="00D4333E"/>
        </w:tc>
        <w:tc>
          <w:tcPr>
            <w:tcW w:w="1670" w:type="dxa"/>
          </w:tcPr>
          <w:p w14:paraId="50AEC482" w14:textId="77777777" w:rsidR="003509FE" w:rsidRDefault="003509FE" w:rsidP="00D4333E"/>
        </w:tc>
        <w:tc>
          <w:tcPr>
            <w:tcW w:w="1671" w:type="dxa"/>
          </w:tcPr>
          <w:p w14:paraId="5BB5A191" w14:textId="77777777" w:rsidR="003509FE" w:rsidRDefault="003509FE" w:rsidP="00D4333E"/>
        </w:tc>
      </w:tr>
      <w:tr w:rsidR="003509FE" w14:paraId="0A52F4DE" w14:textId="77777777" w:rsidTr="00433C29">
        <w:trPr>
          <w:jc w:val="center"/>
        </w:trPr>
        <w:tc>
          <w:tcPr>
            <w:tcW w:w="1800" w:type="dxa"/>
          </w:tcPr>
          <w:p w14:paraId="522EFA78" w14:textId="77777777" w:rsidR="003509FE" w:rsidRPr="00B5546B" w:rsidRDefault="003509FE" w:rsidP="00B5546B">
            <w:pPr>
              <w:spacing w:before="120" w:after="120"/>
              <w:rPr>
                <w:sz w:val="20"/>
                <w:szCs w:val="20"/>
              </w:rPr>
            </w:pPr>
            <w:r w:rsidRPr="00B5546B">
              <w:rPr>
                <w:sz w:val="20"/>
                <w:szCs w:val="20"/>
              </w:rPr>
              <w:t xml:space="preserve">Step 2B. </w:t>
            </w:r>
          </w:p>
          <w:p w14:paraId="43FF55EF" w14:textId="77777777" w:rsidR="003509FE" w:rsidRDefault="003509FE" w:rsidP="00B5546B">
            <w:pPr>
              <w:spacing w:before="120" w:after="120"/>
            </w:pPr>
            <w:r>
              <w:t># of Entering Students</w:t>
            </w:r>
          </w:p>
          <w:p w14:paraId="43C2263D" w14:textId="0CB25D07" w:rsidR="004D11C6" w:rsidRDefault="004D11C6" w:rsidP="00B5546B">
            <w:pPr>
              <w:spacing w:before="120" w:after="120"/>
            </w:pPr>
          </w:p>
        </w:tc>
        <w:tc>
          <w:tcPr>
            <w:tcW w:w="1670" w:type="dxa"/>
          </w:tcPr>
          <w:p w14:paraId="0A41CC4D" w14:textId="77777777" w:rsidR="003509FE" w:rsidRDefault="003509FE" w:rsidP="00D4333E"/>
          <w:p w14:paraId="19476D28" w14:textId="77777777" w:rsidR="003509FE" w:rsidRDefault="003509FE" w:rsidP="00D4333E"/>
        </w:tc>
        <w:tc>
          <w:tcPr>
            <w:tcW w:w="1670" w:type="dxa"/>
          </w:tcPr>
          <w:p w14:paraId="6433606F" w14:textId="77777777" w:rsidR="003509FE" w:rsidRDefault="003509FE" w:rsidP="00D4333E"/>
        </w:tc>
        <w:tc>
          <w:tcPr>
            <w:tcW w:w="1671" w:type="dxa"/>
          </w:tcPr>
          <w:p w14:paraId="2207786A" w14:textId="77777777" w:rsidR="003509FE" w:rsidRDefault="003509FE" w:rsidP="00D4333E"/>
        </w:tc>
        <w:tc>
          <w:tcPr>
            <w:tcW w:w="1670" w:type="dxa"/>
          </w:tcPr>
          <w:p w14:paraId="13A3382D" w14:textId="77777777" w:rsidR="003509FE" w:rsidRDefault="003509FE" w:rsidP="00D4333E"/>
        </w:tc>
        <w:tc>
          <w:tcPr>
            <w:tcW w:w="1671" w:type="dxa"/>
          </w:tcPr>
          <w:p w14:paraId="77AEDCA1" w14:textId="77777777" w:rsidR="003509FE" w:rsidRDefault="003509FE" w:rsidP="00D4333E"/>
        </w:tc>
      </w:tr>
      <w:tr w:rsidR="003509FE" w14:paraId="1D9F4D64" w14:textId="77777777" w:rsidTr="00433C29">
        <w:trPr>
          <w:jc w:val="center"/>
        </w:trPr>
        <w:tc>
          <w:tcPr>
            <w:tcW w:w="1800" w:type="dxa"/>
          </w:tcPr>
          <w:p w14:paraId="2B889D2D" w14:textId="77777777" w:rsidR="003509FE" w:rsidRPr="00B5546B" w:rsidRDefault="003509FE" w:rsidP="00B5546B">
            <w:pPr>
              <w:spacing w:before="120" w:after="120"/>
              <w:rPr>
                <w:sz w:val="20"/>
                <w:szCs w:val="20"/>
              </w:rPr>
            </w:pPr>
            <w:r w:rsidRPr="00B5546B">
              <w:rPr>
                <w:sz w:val="20"/>
                <w:szCs w:val="20"/>
              </w:rPr>
              <w:t>Step 3A.</w:t>
            </w:r>
          </w:p>
          <w:p w14:paraId="35908F8F" w14:textId="77777777" w:rsidR="003509FE" w:rsidRDefault="003509FE" w:rsidP="00B5546B">
            <w:pPr>
              <w:spacing w:before="120" w:after="120"/>
            </w:pPr>
            <w:r>
              <w:t>Estimated # of Sections</w:t>
            </w:r>
          </w:p>
          <w:p w14:paraId="3302877D" w14:textId="77777777" w:rsidR="004D11C6" w:rsidRDefault="004D11C6" w:rsidP="00B5546B">
            <w:pPr>
              <w:spacing w:before="120" w:after="120"/>
            </w:pPr>
          </w:p>
        </w:tc>
        <w:tc>
          <w:tcPr>
            <w:tcW w:w="1670" w:type="dxa"/>
          </w:tcPr>
          <w:p w14:paraId="03148C79" w14:textId="77777777" w:rsidR="003509FE" w:rsidRDefault="003509FE" w:rsidP="00D4333E"/>
        </w:tc>
        <w:tc>
          <w:tcPr>
            <w:tcW w:w="1670" w:type="dxa"/>
          </w:tcPr>
          <w:p w14:paraId="465DAB10" w14:textId="77777777" w:rsidR="003509FE" w:rsidRDefault="003509FE" w:rsidP="00D4333E"/>
        </w:tc>
        <w:tc>
          <w:tcPr>
            <w:tcW w:w="1671" w:type="dxa"/>
          </w:tcPr>
          <w:p w14:paraId="12786BFF" w14:textId="77777777" w:rsidR="003509FE" w:rsidRDefault="003509FE" w:rsidP="00D4333E"/>
        </w:tc>
        <w:tc>
          <w:tcPr>
            <w:tcW w:w="1670" w:type="dxa"/>
          </w:tcPr>
          <w:p w14:paraId="30D3BE53" w14:textId="77777777" w:rsidR="003509FE" w:rsidRDefault="003509FE" w:rsidP="00D4333E"/>
        </w:tc>
        <w:tc>
          <w:tcPr>
            <w:tcW w:w="1671" w:type="dxa"/>
          </w:tcPr>
          <w:p w14:paraId="463941D4" w14:textId="77777777" w:rsidR="003509FE" w:rsidRDefault="003509FE" w:rsidP="00D4333E"/>
        </w:tc>
      </w:tr>
      <w:tr w:rsidR="003509FE" w14:paraId="06098E0E" w14:textId="77777777" w:rsidTr="00433C29">
        <w:trPr>
          <w:jc w:val="center"/>
        </w:trPr>
        <w:tc>
          <w:tcPr>
            <w:tcW w:w="1800" w:type="dxa"/>
          </w:tcPr>
          <w:p w14:paraId="0368B3F9" w14:textId="77777777" w:rsidR="003509FE" w:rsidRPr="00B5546B" w:rsidRDefault="003509FE" w:rsidP="00B5546B">
            <w:pPr>
              <w:spacing w:before="120" w:after="120"/>
              <w:rPr>
                <w:sz w:val="20"/>
                <w:szCs w:val="20"/>
              </w:rPr>
            </w:pPr>
            <w:r w:rsidRPr="00B5546B">
              <w:rPr>
                <w:sz w:val="20"/>
                <w:szCs w:val="20"/>
              </w:rPr>
              <w:t>Step 3B.</w:t>
            </w:r>
          </w:p>
          <w:p w14:paraId="05E043B5" w14:textId="77777777" w:rsidR="003509FE" w:rsidRDefault="003509FE" w:rsidP="00B5546B">
            <w:pPr>
              <w:spacing w:before="120" w:after="120"/>
            </w:pPr>
            <w:r>
              <w:t>Estimated # of Faculty</w:t>
            </w:r>
          </w:p>
          <w:p w14:paraId="62CD053D" w14:textId="77777777" w:rsidR="004D11C6" w:rsidRDefault="004D11C6" w:rsidP="00B5546B">
            <w:pPr>
              <w:spacing w:before="120" w:after="120"/>
            </w:pPr>
          </w:p>
        </w:tc>
        <w:tc>
          <w:tcPr>
            <w:tcW w:w="1670" w:type="dxa"/>
          </w:tcPr>
          <w:p w14:paraId="6E4ECE53" w14:textId="77777777" w:rsidR="003509FE" w:rsidRDefault="003509FE" w:rsidP="00D4333E"/>
        </w:tc>
        <w:tc>
          <w:tcPr>
            <w:tcW w:w="1670" w:type="dxa"/>
          </w:tcPr>
          <w:p w14:paraId="604E25D6" w14:textId="77777777" w:rsidR="003509FE" w:rsidRDefault="003509FE" w:rsidP="00D4333E"/>
        </w:tc>
        <w:tc>
          <w:tcPr>
            <w:tcW w:w="1671" w:type="dxa"/>
          </w:tcPr>
          <w:p w14:paraId="310E5AEF" w14:textId="77777777" w:rsidR="003509FE" w:rsidRDefault="003509FE" w:rsidP="00D4333E"/>
        </w:tc>
        <w:tc>
          <w:tcPr>
            <w:tcW w:w="1670" w:type="dxa"/>
          </w:tcPr>
          <w:p w14:paraId="0EC354A6" w14:textId="77777777" w:rsidR="003509FE" w:rsidRDefault="003509FE" w:rsidP="00D4333E"/>
        </w:tc>
        <w:tc>
          <w:tcPr>
            <w:tcW w:w="1671" w:type="dxa"/>
          </w:tcPr>
          <w:p w14:paraId="76932544" w14:textId="77777777" w:rsidR="003509FE" w:rsidRDefault="003509FE" w:rsidP="00D4333E"/>
        </w:tc>
      </w:tr>
    </w:tbl>
    <w:p w14:paraId="740D08B0" w14:textId="2502F487" w:rsidR="00843597" w:rsidRDefault="00843597" w:rsidP="003509FE"/>
    <w:p w14:paraId="25DDFDB9" w14:textId="77777777" w:rsidR="00843597" w:rsidRPr="00843597" w:rsidRDefault="00843597" w:rsidP="00843597"/>
    <w:p w14:paraId="5FE0D378" w14:textId="77777777" w:rsidR="00843597" w:rsidRPr="00843597" w:rsidRDefault="00843597" w:rsidP="00843597"/>
    <w:p w14:paraId="3E012908" w14:textId="77777777" w:rsidR="00843597" w:rsidRPr="00843597" w:rsidRDefault="00843597" w:rsidP="00843597"/>
    <w:p w14:paraId="282587F2" w14:textId="77777777" w:rsidR="00843597" w:rsidRPr="00843597" w:rsidRDefault="00843597" w:rsidP="00843597"/>
    <w:p w14:paraId="7D6BB26F" w14:textId="42DD1A24" w:rsidR="00843597" w:rsidRDefault="00843597" w:rsidP="00843597"/>
    <w:p w14:paraId="3740BF01" w14:textId="49EC60BB" w:rsidR="009C2767" w:rsidRPr="00843597" w:rsidRDefault="00843597" w:rsidP="00843597">
      <w:pPr>
        <w:tabs>
          <w:tab w:val="left" w:pos="1620"/>
        </w:tabs>
      </w:pPr>
      <w:r>
        <w:tab/>
      </w:r>
    </w:p>
    <w:sectPr w:rsidR="009C2767" w:rsidRPr="00843597" w:rsidSect="00C41EFF">
      <w:headerReference w:type="default" r:id="rId8"/>
      <w:footerReference w:type="default" r:id="rId9"/>
      <w:headerReference w:type="first" r:id="rId10"/>
      <w:footerReference w:type="first" r:id="rId11"/>
      <w:pgSz w:w="12240" w:h="15840"/>
      <w:pgMar w:top="1267" w:right="1440" w:bottom="1440" w:left="1440" w:header="720" w:footer="103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6F6F3" w14:textId="77777777" w:rsidR="00966312" w:rsidRDefault="00966312" w:rsidP="00996F27">
      <w:r>
        <w:separator/>
      </w:r>
    </w:p>
  </w:endnote>
  <w:endnote w:type="continuationSeparator" w:id="0">
    <w:p w14:paraId="78EE6AD3" w14:textId="77777777" w:rsidR="00966312" w:rsidRDefault="00966312" w:rsidP="009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BAD86" w14:textId="4AB34625" w:rsidR="00D4333E" w:rsidRPr="004879FF" w:rsidRDefault="000754BB" w:rsidP="00E76AD8">
    <w:pPr>
      <w:ind w:right="-900"/>
      <w:jc w:val="right"/>
      <w:rPr>
        <w:rFonts w:ascii="Arial" w:hAnsi="Arial"/>
        <w:color w:val="808080" w:themeColor="background1" w:themeShade="80"/>
        <w:sz w:val="14"/>
        <w:szCs w:val="14"/>
      </w:rPr>
    </w:pPr>
    <w:r>
      <w:rPr>
        <w:rFonts w:ascii="Arial" w:hAnsi="Arial" w:cs="Times New Roman"/>
        <w:color w:val="808080" w:themeColor="background1" w:themeShade="80"/>
        <w:sz w:val="14"/>
        <w:szCs w:val="14"/>
      </w:rPr>
      <w:t>10</w:t>
    </w:r>
    <w:r w:rsidR="00D4333E">
      <w:rPr>
        <w:rFonts w:ascii="Arial" w:hAnsi="Arial" w:cs="Times New Roman"/>
        <w:color w:val="808080" w:themeColor="background1" w:themeShade="80"/>
        <w:sz w:val="14"/>
        <w:szCs w:val="14"/>
      </w:rPr>
      <w:t>/</w:t>
    </w:r>
    <w:r w:rsidR="00D4333E" w:rsidRPr="004879FF">
      <w:rPr>
        <w:rFonts w:ascii="Arial" w:hAnsi="Arial" w:cs="Times New Roman"/>
        <w:color w:val="808080" w:themeColor="background1" w:themeShade="80"/>
        <w:sz w:val="14"/>
        <w:szCs w:val="14"/>
      </w:rPr>
      <w:t>2</w:t>
    </w:r>
    <w:r w:rsidR="00D4333E">
      <w:rPr>
        <w:rFonts w:ascii="Arial" w:hAnsi="Arial" w:cs="Times New Roman"/>
        <w:color w:val="808080" w:themeColor="background1" w:themeShade="80"/>
        <w:sz w:val="14"/>
        <w:szCs w:val="14"/>
      </w:rPr>
      <w:t>016</w:t>
    </w:r>
  </w:p>
  <w:p w14:paraId="4C347595" w14:textId="77777777" w:rsidR="00D4333E" w:rsidRPr="00C14922" w:rsidRDefault="00D4333E" w:rsidP="00207535">
    <w:pPr>
      <w:pStyle w:val="Footer"/>
      <w:framePr w:w="353" w:h="305" w:hRule="exact" w:wrap="around" w:vAnchor="text" w:hAnchor="page" w:x="5941" w:y="470"/>
      <w:jc w:val="center"/>
      <w:rPr>
        <w:rStyle w:val="PageNumber"/>
        <w:szCs w:val="20"/>
      </w:rPr>
    </w:pPr>
    <w:r w:rsidRPr="00C14922">
      <w:rPr>
        <w:rStyle w:val="PageNumber"/>
        <w:szCs w:val="20"/>
      </w:rPr>
      <w:fldChar w:fldCharType="begin"/>
    </w:r>
    <w:r w:rsidRPr="00C14922">
      <w:rPr>
        <w:rStyle w:val="PageNumber"/>
        <w:szCs w:val="20"/>
      </w:rPr>
      <w:instrText xml:space="preserve">PAGE  </w:instrText>
    </w:r>
    <w:r w:rsidRPr="00C14922">
      <w:rPr>
        <w:rStyle w:val="PageNumber"/>
        <w:szCs w:val="20"/>
      </w:rPr>
      <w:fldChar w:fldCharType="separate"/>
    </w:r>
    <w:r w:rsidR="00EF733F">
      <w:rPr>
        <w:rStyle w:val="PageNumber"/>
        <w:noProof/>
        <w:szCs w:val="20"/>
      </w:rPr>
      <w:t>2</w:t>
    </w:r>
    <w:r w:rsidRPr="00C14922">
      <w:rPr>
        <w:rStyle w:val="PageNumber"/>
        <w:szCs w:val="20"/>
      </w:rPr>
      <w:fldChar w:fldCharType="end"/>
    </w:r>
  </w:p>
  <w:p w14:paraId="6497D773" w14:textId="365066C1" w:rsidR="00D4333E" w:rsidRPr="008013DD" w:rsidRDefault="00D4333E" w:rsidP="009D73DA">
    <w:pPr>
      <w:pStyle w:val="Footer"/>
      <w:tabs>
        <w:tab w:val="clear" w:pos="4320"/>
        <w:tab w:val="clear" w:pos="8640"/>
      </w:tabs>
    </w:pPr>
    <w:r>
      <w:rPr>
        <w:noProof/>
      </w:rPr>
      <w:drawing>
        <wp:anchor distT="0" distB="0" distL="114300" distR="114300" simplePos="0" relativeHeight="251670528" behindDoc="1" locked="0" layoutInCell="1" allowOverlap="1" wp14:anchorId="07265E78" wp14:editId="3EF599E8">
          <wp:simplePos x="0" y="0"/>
          <wp:positionH relativeFrom="column">
            <wp:posOffset>-914400</wp:posOffset>
          </wp:positionH>
          <wp:positionV relativeFrom="paragraph">
            <wp:posOffset>15875</wp:posOffset>
          </wp:positionV>
          <wp:extent cx="7772400" cy="820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8D45" w14:textId="7ECD3F9D" w:rsidR="00D4333E" w:rsidRPr="007F37FA" w:rsidRDefault="000754BB" w:rsidP="00467618">
    <w:pPr>
      <w:ind w:right="-900"/>
      <w:jc w:val="right"/>
      <w:rPr>
        <w:rFonts w:ascii="Arial" w:hAnsi="Arial"/>
        <w:color w:val="808080" w:themeColor="background1" w:themeShade="80"/>
        <w:sz w:val="12"/>
        <w:szCs w:val="12"/>
      </w:rPr>
    </w:pPr>
    <w:r>
      <w:rPr>
        <w:rFonts w:ascii="Arial" w:hAnsi="Arial" w:cs="Times New Roman"/>
        <w:color w:val="808080" w:themeColor="background1" w:themeShade="80"/>
        <w:sz w:val="12"/>
        <w:szCs w:val="12"/>
      </w:rPr>
      <w:t>10</w:t>
    </w:r>
    <w:r w:rsidR="00D4333E" w:rsidRPr="007F37FA">
      <w:rPr>
        <w:rFonts w:ascii="Arial" w:hAnsi="Arial" w:cs="Times New Roman"/>
        <w:color w:val="808080" w:themeColor="background1" w:themeShade="80"/>
        <w:sz w:val="12"/>
        <w:szCs w:val="12"/>
      </w:rPr>
      <w:t>/2016</w:t>
    </w:r>
  </w:p>
  <w:p w14:paraId="4A04E6E4" w14:textId="5966B99B" w:rsidR="00D4333E" w:rsidRDefault="00D4333E">
    <w:pPr>
      <w:pStyle w:val="Footer"/>
    </w:pPr>
    <w:r>
      <w:rPr>
        <w:noProof/>
      </w:rPr>
      <w:drawing>
        <wp:anchor distT="0" distB="0" distL="114300" distR="114300" simplePos="0" relativeHeight="251669504" behindDoc="1" locked="0" layoutInCell="1" allowOverlap="1" wp14:anchorId="20A1AA75" wp14:editId="2552A74A">
          <wp:simplePos x="0" y="0"/>
          <wp:positionH relativeFrom="column">
            <wp:posOffset>-914400</wp:posOffset>
          </wp:positionH>
          <wp:positionV relativeFrom="paragraph">
            <wp:posOffset>16510</wp:posOffset>
          </wp:positionV>
          <wp:extent cx="7772400"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B23C4" w14:textId="77777777" w:rsidR="00966312" w:rsidRDefault="00966312" w:rsidP="00996F27">
      <w:r>
        <w:separator/>
      </w:r>
    </w:p>
  </w:footnote>
  <w:footnote w:type="continuationSeparator" w:id="0">
    <w:p w14:paraId="2ADB32A5" w14:textId="77777777" w:rsidR="00966312" w:rsidRDefault="00966312" w:rsidP="00996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FE22E" w14:textId="6C9EB30E" w:rsidR="00D4333E" w:rsidRPr="003F64AE" w:rsidRDefault="004D11C6" w:rsidP="00CE71C1">
    <w:pPr>
      <w:jc w:val="right"/>
      <w:rPr>
        <w:rFonts w:ascii="Century Gothic" w:hAnsi="Century Gothic"/>
        <w:sz w:val="20"/>
        <w:szCs w:val="20"/>
      </w:rPr>
    </w:pPr>
    <w:r>
      <w:rPr>
        <w:rFonts w:ascii="Century Gothic" w:hAnsi="Century Gothic"/>
        <w:sz w:val="20"/>
        <w:szCs w:val="20"/>
      </w:rPr>
      <w:t xml:space="preserve">Setting a </w:t>
    </w:r>
    <w:r w:rsidR="00843597">
      <w:rPr>
        <w:rFonts w:ascii="Century Gothic" w:hAnsi="Century Gothic"/>
        <w:sz w:val="20"/>
        <w:szCs w:val="20"/>
      </w:rPr>
      <w:t>Goals</w:t>
    </w:r>
    <w:r>
      <w:rPr>
        <w:rFonts w:ascii="Century Gothic" w:hAnsi="Century Gothic"/>
        <w:sz w:val="20"/>
        <w:szCs w:val="20"/>
      </w:rPr>
      <w:t xml:space="preserve"> for Scale: A Thought Experiment</w:t>
    </w:r>
  </w:p>
  <w:p w14:paraId="106BC9FB" w14:textId="01F8F648" w:rsidR="00D4333E" w:rsidRPr="00CD7A0E" w:rsidRDefault="00D4333E" w:rsidP="00CD7A0E">
    <w:pPr>
      <w:pStyle w:val="Header"/>
      <w:jc w:val="righ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D4333E" w14:paraId="0C469AE9" w14:textId="77777777" w:rsidTr="00CE71C1">
      <w:tc>
        <w:tcPr>
          <w:tcW w:w="7740" w:type="dxa"/>
        </w:tcPr>
        <w:p w14:paraId="55284E5D" w14:textId="15A304C3" w:rsidR="00D4333E" w:rsidRDefault="00D4333E" w:rsidP="00D34D64">
          <w:pPr>
            <w:tabs>
              <w:tab w:val="left" w:pos="7200"/>
            </w:tabs>
            <w:spacing w:before="60" w:after="60"/>
            <w:ind w:right="432"/>
            <w:rPr>
              <w:rFonts w:ascii="Century Gothic" w:hAnsi="Century Gothic"/>
              <w:b/>
              <w:sz w:val="36"/>
              <w:szCs w:val="36"/>
            </w:rPr>
          </w:pPr>
          <w:r>
            <w:rPr>
              <w:rFonts w:ascii="Century Gothic" w:hAnsi="Century Gothic"/>
              <w:b/>
              <w:noProof/>
              <w:sz w:val="36"/>
              <w:szCs w:val="36"/>
            </w:rPr>
            <w:drawing>
              <wp:anchor distT="0" distB="0" distL="114300" distR="114300" simplePos="0" relativeHeight="251671552" behindDoc="1" locked="0" layoutInCell="1" allowOverlap="1" wp14:anchorId="76536764" wp14:editId="7F53D73C">
                <wp:simplePos x="0" y="0"/>
                <wp:positionH relativeFrom="column">
                  <wp:posOffset>4874260</wp:posOffset>
                </wp:positionH>
                <wp:positionV relativeFrom="paragraph">
                  <wp:posOffset>-457200</wp:posOffset>
                </wp:positionV>
                <wp:extent cx="1983740" cy="10972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36"/>
              <w:szCs w:val="36"/>
            </w:rPr>
            <w:t xml:space="preserve">Setting </w:t>
          </w:r>
          <w:r w:rsidR="00843597">
            <w:rPr>
              <w:rFonts w:ascii="Century Gothic" w:hAnsi="Century Gothic"/>
              <w:b/>
              <w:sz w:val="36"/>
              <w:szCs w:val="36"/>
            </w:rPr>
            <w:t>Goals</w:t>
          </w:r>
          <w:r>
            <w:rPr>
              <w:rFonts w:ascii="Century Gothic" w:hAnsi="Century Gothic"/>
              <w:b/>
              <w:sz w:val="36"/>
              <w:szCs w:val="36"/>
            </w:rPr>
            <w:t xml:space="preserve"> for Scale:</w:t>
          </w:r>
        </w:p>
        <w:p w14:paraId="731BCAF9" w14:textId="575D0211" w:rsidR="00D4333E" w:rsidRPr="00380673" w:rsidRDefault="00D4333E" w:rsidP="00CE71C1">
          <w:pPr>
            <w:tabs>
              <w:tab w:val="left" w:pos="7200"/>
            </w:tabs>
            <w:spacing w:after="60"/>
            <w:ind w:right="72"/>
            <w:rPr>
              <w:rFonts w:ascii="Century Gothic" w:hAnsi="Century Gothic"/>
              <w:b/>
              <w:sz w:val="28"/>
              <w:szCs w:val="28"/>
            </w:rPr>
          </w:pPr>
          <w:r>
            <w:rPr>
              <w:rFonts w:ascii="Century Gothic" w:hAnsi="Century Gothic"/>
              <w:b/>
              <w:sz w:val="28"/>
              <w:szCs w:val="28"/>
            </w:rPr>
            <w:t xml:space="preserve">A </w:t>
          </w:r>
          <w:r w:rsidR="004D11C6">
            <w:rPr>
              <w:rFonts w:ascii="Century Gothic" w:hAnsi="Century Gothic"/>
              <w:b/>
              <w:sz w:val="28"/>
              <w:szCs w:val="28"/>
            </w:rPr>
            <w:t>T</w:t>
          </w:r>
          <w:r>
            <w:rPr>
              <w:rFonts w:ascii="Century Gothic" w:hAnsi="Century Gothic"/>
              <w:b/>
              <w:sz w:val="28"/>
              <w:szCs w:val="28"/>
            </w:rPr>
            <w:t xml:space="preserve">hought </w:t>
          </w:r>
          <w:r w:rsidR="004D11C6">
            <w:rPr>
              <w:rFonts w:ascii="Century Gothic" w:hAnsi="Century Gothic"/>
              <w:b/>
              <w:sz w:val="28"/>
              <w:szCs w:val="28"/>
            </w:rPr>
            <w:t>E</w:t>
          </w:r>
          <w:r>
            <w:rPr>
              <w:rFonts w:ascii="Century Gothic" w:hAnsi="Century Gothic"/>
              <w:b/>
              <w:sz w:val="28"/>
              <w:szCs w:val="28"/>
            </w:rPr>
            <w:t>xperiment</w:t>
          </w:r>
        </w:p>
      </w:tc>
    </w:tr>
  </w:tbl>
  <w:p w14:paraId="6F0556D0" w14:textId="0E70B2E3" w:rsidR="00D4333E" w:rsidRPr="00937DC6" w:rsidRDefault="00D4333E" w:rsidP="00493563">
    <w:pPr>
      <w:pStyle w:val="Header"/>
      <w:tabs>
        <w:tab w:val="clear" w:pos="4320"/>
        <w:tab w:val="clear" w:pos="8640"/>
      </w:tabs>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35F"/>
    <w:multiLevelType w:val="hybridMultilevel"/>
    <w:tmpl w:val="9056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E5419"/>
    <w:multiLevelType w:val="hybridMultilevel"/>
    <w:tmpl w:val="827C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50391"/>
    <w:multiLevelType w:val="hybridMultilevel"/>
    <w:tmpl w:val="ED9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74BC0"/>
    <w:multiLevelType w:val="hybridMultilevel"/>
    <w:tmpl w:val="9FF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0"/>
    <w:rsid w:val="00027FFB"/>
    <w:rsid w:val="000754BB"/>
    <w:rsid w:val="000C51CD"/>
    <w:rsid w:val="000C5A1A"/>
    <w:rsid w:val="00136D29"/>
    <w:rsid w:val="00163353"/>
    <w:rsid w:val="00185FE2"/>
    <w:rsid w:val="001878CF"/>
    <w:rsid w:val="00195F40"/>
    <w:rsid w:val="001D348F"/>
    <w:rsid w:val="001D7F4A"/>
    <w:rsid w:val="00207535"/>
    <w:rsid w:val="00276B5C"/>
    <w:rsid w:val="002833D3"/>
    <w:rsid w:val="002A5F47"/>
    <w:rsid w:val="003120B9"/>
    <w:rsid w:val="003212E4"/>
    <w:rsid w:val="003509FE"/>
    <w:rsid w:val="003610DA"/>
    <w:rsid w:val="00380673"/>
    <w:rsid w:val="003A7B33"/>
    <w:rsid w:val="003F64AE"/>
    <w:rsid w:val="0040070A"/>
    <w:rsid w:val="00433C29"/>
    <w:rsid w:val="00467618"/>
    <w:rsid w:val="004879FF"/>
    <w:rsid w:val="00493563"/>
    <w:rsid w:val="004A2BDD"/>
    <w:rsid w:val="004B0EA0"/>
    <w:rsid w:val="004C0E19"/>
    <w:rsid w:val="004D11C6"/>
    <w:rsid w:val="004E0033"/>
    <w:rsid w:val="004F5FAA"/>
    <w:rsid w:val="00530B30"/>
    <w:rsid w:val="00533C64"/>
    <w:rsid w:val="00592E03"/>
    <w:rsid w:val="005C402C"/>
    <w:rsid w:val="005E0FA3"/>
    <w:rsid w:val="005E44F4"/>
    <w:rsid w:val="00643DCF"/>
    <w:rsid w:val="006446F5"/>
    <w:rsid w:val="0067700D"/>
    <w:rsid w:val="006B23F7"/>
    <w:rsid w:val="006D095F"/>
    <w:rsid w:val="00702BF5"/>
    <w:rsid w:val="00725AB2"/>
    <w:rsid w:val="00726722"/>
    <w:rsid w:val="00741BBC"/>
    <w:rsid w:val="007703D8"/>
    <w:rsid w:val="007C5FEF"/>
    <w:rsid w:val="007C7121"/>
    <w:rsid w:val="007C7998"/>
    <w:rsid w:val="007F37FA"/>
    <w:rsid w:val="008013DD"/>
    <w:rsid w:val="00840AE6"/>
    <w:rsid w:val="00843597"/>
    <w:rsid w:val="00884752"/>
    <w:rsid w:val="008E1F39"/>
    <w:rsid w:val="008F227A"/>
    <w:rsid w:val="00937DC6"/>
    <w:rsid w:val="00965FBA"/>
    <w:rsid w:val="00966312"/>
    <w:rsid w:val="0099290C"/>
    <w:rsid w:val="00996F27"/>
    <w:rsid w:val="009A0513"/>
    <w:rsid w:val="009A7905"/>
    <w:rsid w:val="009C2767"/>
    <w:rsid w:val="009D2EB7"/>
    <w:rsid w:val="009D73DA"/>
    <w:rsid w:val="009E4D1D"/>
    <w:rsid w:val="009E604F"/>
    <w:rsid w:val="00A7007E"/>
    <w:rsid w:val="00AA1AB6"/>
    <w:rsid w:val="00AF1564"/>
    <w:rsid w:val="00AF7148"/>
    <w:rsid w:val="00B01D70"/>
    <w:rsid w:val="00B51FA4"/>
    <w:rsid w:val="00B52920"/>
    <w:rsid w:val="00B5546B"/>
    <w:rsid w:val="00B645EC"/>
    <w:rsid w:val="00B83DCE"/>
    <w:rsid w:val="00BB2AB0"/>
    <w:rsid w:val="00BD1903"/>
    <w:rsid w:val="00BD3913"/>
    <w:rsid w:val="00BF5D3D"/>
    <w:rsid w:val="00C41EFF"/>
    <w:rsid w:val="00CD7A0E"/>
    <w:rsid w:val="00CE71C1"/>
    <w:rsid w:val="00D34D64"/>
    <w:rsid w:val="00D4333E"/>
    <w:rsid w:val="00DC11FB"/>
    <w:rsid w:val="00DE350D"/>
    <w:rsid w:val="00DE783C"/>
    <w:rsid w:val="00DF6068"/>
    <w:rsid w:val="00E64EA0"/>
    <w:rsid w:val="00E76AD8"/>
    <w:rsid w:val="00EB6023"/>
    <w:rsid w:val="00EC77A8"/>
    <w:rsid w:val="00EF733F"/>
    <w:rsid w:val="00F04356"/>
    <w:rsid w:val="00F54348"/>
    <w:rsid w:val="00F964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74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3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 w:type="paragraph" w:styleId="CommentText">
    <w:name w:val="annotation text"/>
    <w:basedOn w:val="Normal"/>
    <w:link w:val="CommentTextChar"/>
    <w:uiPriority w:val="99"/>
    <w:semiHidden/>
    <w:unhideWhenUsed/>
    <w:rsid w:val="00C41EFF"/>
  </w:style>
  <w:style w:type="character" w:customStyle="1" w:styleId="CommentTextChar">
    <w:name w:val="Comment Text Char"/>
    <w:basedOn w:val="DefaultParagraphFont"/>
    <w:link w:val="CommentText"/>
    <w:uiPriority w:val="99"/>
    <w:semiHidden/>
    <w:rsid w:val="00C41EFF"/>
    <w:rPr>
      <w:rFonts w:ascii="Cambria" w:hAnsi="Cambria"/>
    </w:rPr>
  </w:style>
  <w:style w:type="paragraph" w:styleId="CommentSubject">
    <w:name w:val="annotation subject"/>
    <w:basedOn w:val="CommentText"/>
    <w:next w:val="CommentText"/>
    <w:link w:val="CommentSubjectChar"/>
    <w:uiPriority w:val="99"/>
    <w:semiHidden/>
    <w:unhideWhenUsed/>
    <w:rsid w:val="00C41EFF"/>
    <w:rPr>
      <w:b/>
      <w:bCs/>
      <w:sz w:val="20"/>
      <w:szCs w:val="20"/>
    </w:rPr>
  </w:style>
  <w:style w:type="character" w:customStyle="1" w:styleId="CommentSubjectChar">
    <w:name w:val="Comment Subject Char"/>
    <w:basedOn w:val="CommentTextChar"/>
    <w:link w:val="CommentSubject"/>
    <w:uiPriority w:val="99"/>
    <w:semiHidden/>
    <w:rsid w:val="00C41EFF"/>
    <w:rPr>
      <w:rFonts w:ascii="Cambria" w:hAnsi="Cambria"/>
      <w:b/>
      <w:bCs/>
      <w:sz w:val="20"/>
      <w:szCs w:val="20"/>
    </w:rPr>
  </w:style>
  <w:style w:type="paragraph" w:styleId="Revision">
    <w:name w:val="Revision"/>
    <w:hidden/>
    <w:uiPriority w:val="99"/>
    <w:semiHidden/>
    <w:rsid w:val="00C41EFF"/>
    <w:rPr>
      <w:rFonts w:ascii="Cambria" w:hAnsi="Cambria"/>
    </w:rPr>
  </w:style>
  <w:style w:type="paragraph" w:styleId="NoSpacing">
    <w:name w:val="No Spacing"/>
    <w:uiPriority w:val="1"/>
    <w:qFormat/>
    <w:rsid w:val="003509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3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 w:type="paragraph" w:styleId="CommentText">
    <w:name w:val="annotation text"/>
    <w:basedOn w:val="Normal"/>
    <w:link w:val="CommentTextChar"/>
    <w:uiPriority w:val="99"/>
    <w:semiHidden/>
    <w:unhideWhenUsed/>
    <w:rsid w:val="00C41EFF"/>
  </w:style>
  <w:style w:type="character" w:customStyle="1" w:styleId="CommentTextChar">
    <w:name w:val="Comment Text Char"/>
    <w:basedOn w:val="DefaultParagraphFont"/>
    <w:link w:val="CommentText"/>
    <w:uiPriority w:val="99"/>
    <w:semiHidden/>
    <w:rsid w:val="00C41EFF"/>
    <w:rPr>
      <w:rFonts w:ascii="Cambria" w:hAnsi="Cambria"/>
    </w:rPr>
  </w:style>
  <w:style w:type="paragraph" w:styleId="CommentSubject">
    <w:name w:val="annotation subject"/>
    <w:basedOn w:val="CommentText"/>
    <w:next w:val="CommentText"/>
    <w:link w:val="CommentSubjectChar"/>
    <w:uiPriority w:val="99"/>
    <w:semiHidden/>
    <w:unhideWhenUsed/>
    <w:rsid w:val="00C41EFF"/>
    <w:rPr>
      <w:b/>
      <w:bCs/>
      <w:sz w:val="20"/>
      <w:szCs w:val="20"/>
    </w:rPr>
  </w:style>
  <w:style w:type="character" w:customStyle="1" w:styleId="CommentSubjectChar">
    <w:name w:val="Comment Subject Char"/>
    <w:basedOn w:val="CommentTextChar"/>
    <w:link w:val="CommentSubject"/>
    <w:uiPriority w:val="99"/>
    <w:semiHidden/>
    <w:rsid w:val="00C41EFF"/>
    <w:rPr>
      <w:rFonts w:ascii="Cambria" w:hAnsi="Cambria"/>
      <w:b/>
      <w:bCs/>
      <w:sz w:val="20"/>
      <w:szCs w:val="20"/>
    </w:rPr>
  </w:style>
  <w:style w:type="paragraph" w:styleId="Revision">
    <w:name w:val="Revision"/>
    <w:hidden/>
    <w:uiPriority w:val="99"/>
    <w:semiHidden/>
    <w:rsid w:val="00C41EFF"/>
    <w:rPr>
      <w:rFonts w:ascii="Cambria" w:hAnsi="Cambria"/>
    </w:rPr>
  </w:style>
  <w:style w:type="paragraph" w:styleId="NoSpacing">
    <w:name w:val="No Spacing"/>
    <w:uiPriority w:val="1"/>
    <w:qFormat/>
    <w:rsid w:val="0035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CMP (UT Colors)">
      <a:dk1>
        <a:srgbClr val="333F48"/>
      </a:dk1>
      <a:lt1>
        <a:sysClr val="window" lastClr="FFFFFF"/>
      </a:lt1>
      <a:dk2>
        <a:srgbClr val="BF5700"/>
      </a:dk2>
      <a:lt2>
        <a:srgbClr val="D6D2C4"/>
      </a:lt2>
      <a:accent1>
        <a:srgbClr val="333F48"/>
      </a:accent1>
      <a:accent2>
        <a:srgbClr val="005F86"/>
      </a:accent2>
      <a:accent3>
        <a:srgbClr val="43695B"/>
      </a:accent3>
      <a:accent4>
        <a:srgbClr val="F2A900"/>
      </a:accent4>
      <a:accent5>
        <a:srgbClr val="382F2D"/>
      </a:accent5>
      <a:accent6>
        <a:srgbClr val="D6D2C4"/>
      </a:accent6>
      <a:hlink>
        <a:srgbClr val="BF5700"/>
      </a:hlink>
      <a:folHlink>
        <a:srgbClr val="BF570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Macintosh Word</Application>
  <DocSecurity>4</DocSecurity>
  <Lines>19</Lines>
  <Paragraphs>5</Paragraphs>
  <ScaleCrop>false</ScaleCrop>
  <Company>The University of Texas at Austin</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Seifert</dc:creator>
  <cp:keywords/>
  <dc:description/>
  <cp:lastModifiedBy>Heather Cook</cp:lastModifiedBy>
  <cp:revision>2</cp:revision>
  <cp:lastPrinted>2016-09-29T17:32:00Z</cp:lastPrinted>
  <dcterms:created xsi:type="dcterms:W3CDTF">2017-06-07T13:04:00Z</dcterms:created>
  <dcterms:modified xsi:type="dcterms:W3CDTF">2017-06-07T13:04:00Z</dcterms:modified>
</cp:coreProperties>
</file>