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15381" w14:textId="58DB166E" w:rsidR="0077333D" w:rsidRPr="0077333D" w:rsidRDefault="0077333D" w:rsidP="0077333D">
      <w:pPr>
        <w:pStyle w:val="NoSpacing"/>
        <w:spacing w:before="200"/>
        <w:rPr>
          <w:rFonts w:ascii="Cambria" w:hAnsi="Cambria" w:cs="Times New Roman"/>
        </w:rPr>
      </w:pPr>
      <w:bookmarkStart w:id="0" w:name="_GoBack"/>
      <w:bookmarkEnd w:id="0"/>
      <w:r w:rsidRPr="00535A5F">
        <w:rPr>
          <w:rFonts w:ascii="Century Gothic" w:hAnsi="Century Gothic" w:cs="Times New Roman"/>
          <w:b/>
        </w:rPr>
        <w:t>Purpose:</w:t>
      </w:r>
      <w:r w:rsidRPr="0077333D">
        <w:rPr>
          <w:rFonts w:ascii="Cambria" w:hAnsi="Cambria" w:cs="Times New Roman"/>
          <w:b/>
        </w:rPr>
        <w:t xml:space="preserve"> </w:t>
      </w:r>
      <w:r w:rsidRPr="0077333D">
        <w:rPr>
          <w:rFonts w:ascii="Cambria" w:hAnsi="Cambria" w:cs="Times New Roman"/>
        </w:rPr>
        <w:t>Sustaining math</w:t>
      </w:r>
      <w:r w:rsidR="00144E7D">
        <w:rPr>
          <w:rFonts w:ascii="Cambria" w:hAnsi="Cambria" w:cs="Times New Roman"/>
        </w:rPr>
        <w:t>ematics</w:t>
      </w:r>
      <w:r w:rsidRPr="0077333D">
        <w:rPr>
          <w:rFonts w:ascii="Cambria" w:hAnsi="Cambria" w:cs="Times New Roman"/>
        </w:rPr>
        <w:t xml:space="preserve"> pathways at scale requires a deep pool of faculty to teach the courses and to serve as leaders and mentors. Many innovations fail or discontinue because they are dependent on a few individuals who cannot sustain or grow the work over time. This tool is intended to help a small team think strategically about how its </w:t>
      </w:r>
      <w:r w:rsidR="00144E7D">
        <w:rPr>
          <w:rFonts w:ascii="Cambria" w:hAnsi="Cambria" w:cs="Times New Roman"/>
        </w:rPr>
        <w:t>institution</w:t>
      </w:r>
      <w:r w:rsidR="00144E7D" w:rsidRPr="0077333D">
        <w:rPr>
          <w:rFonts w:ascii="Cambria" w:hAnsi="Cambria" w:cs="Times New Roman"/>
        </w:rPr>
        <w:t xml:space="preserve"> </w:t>
      </w:r>
      <w:r w:rsidRPr="0077333D">
        <w:rPr>
          <w:rFonts w:ascii="Cambria" w:hAnsi="Cambria" w:cs="Times New Roman"/>
        </w:rPr>
        <w:t>might provide supports to build faculty capacity in terms of breadth (increasing numbers of faculty involved) and depth (building leadership and expertise). While the tool specifically refers to math faculty, it can be applied to staff and faculty in other areas.</w:t>
      </w:r>
    </w:p>
    <w:p w14:paraId="3C8D807D" w14:textId="77777777" w:rsidR="0077333D" w:rsidRPr="0077333D" w:rsidRDefault="0077333D" w:rsidP="0077333D">
      <w:pPr>
        <w:pStyle w:val="NoSpacing"/>
        <w:spacing w:before="200"/>
        <w:rPr>
          <w:rFonts w:ascii="Cambria" w:hAnsi="Cambria" w:cs="Times New Roman"/>
          <w:b/>
        </w:rPr>
      </w:pPr>
      <w:r w:rsidRPr="00535A5F">
        <w:rPr>
          <w:rFonts w:ascii="Century Gothic" w:hAnsi="Century Gothic" w:cs="Times New Roman"/>
          <w:b/>
        </w:rPr>
        <w:t>Users:</w:t>
      </w:r>
      <w:r w:rsidRPr="0077333D">
        <w:rPr>
          <w:rFonts w:ascii="Cambria" w:hAnsi="Cambria" w:cs="Times New Roman"/>
          <w:b/>
        </w:rPr>
        <w:t xml:space="preserve"> </w:t>
      </w:r>
      <w:r w:rsidRPr="0077333D">
        <w:rPr>
          <w:rFonts w:ascii="Cambria" w:hAnsi="Cambria" w:cs="Times New Roman"/>
        </w:rPr>
        <w:t>Administrators, math faculty</w:t>
      </w:r>
    </w:p>
    <w:p w14:paraId="1B87025F" w14:textId="77777777" w:rsidR="0077333D" w:rsidRPr="00535A5F" w:rsidRDefault="0077333D" w:rsidP="0077333D">
      <w:pPr>
        <w:pStyle w:val="NoSpacing"/>
        <w:spacing w:before="200"/>
        <w:rPr>
          <w:rFonts w:ascii="Century Gothic" w:hAnsi="Century Gothic" w:cs="Times New Roman"/>
        </w:rPr>
      </w:pPr>
      <w:r w:rsidRPr="00535A5F">
        <w:rPr>
          <w:rFonts w:ascii="Century Gothic" w:hAnsi="Century Gothic" w:cs="Times New Roman"/>
          <w:b/>
        </w:rPr>
        <w:t>Process-at-Glance</w:t>
      </w:r>
      <w:r w:rsidRPr="00535A5F">
        <w:rPr>
          <w:rFonts w:ascii="Century Gothic" w:hAnsi="Century Gothic" w:cs="Times New Roman"/>
        </w:rPr>
        <w:t xml:space="preserve">: </w:t>
      </w:r>
    </w:p>
    <w:p w14:paraId="2572AA84" w14:textId="77777777" w:rsidR="0077333D" w:rsidRPr="0077333D" w:rsidRDefault="0077333D" w:rsidP="0077333D">
      <w:pPr>
        <w:pStyle w:val="NoSpacing"/>
        <w:numPr>
          <w:ilvl w:val="0"/>
          <w:numId w:val="13"/>
        </w:numPr>
        <w:spacing w:before="200"/>
        <w:rPr>
          <w:rFonts w:ascii="Cambria" w:hAnsi="Cambria" w:cs="Times New Roman"/>
        </w:rPr>
      </w:pPr>
      <w:r w:rsidRPr="0077333D">
        <w:rPr>
          <w:rFonts w:ascii="Cambria" w:hAnsi="Cambria" w:cs="Times New Roman"/>
        </w:rPr>
        <w:t>Part I – Identify and prioritize strategies to engage faculty in implementing math pathways.</w:t>
      </w:r>
    </w:p>
    <w:p w14:paraId="3B043FAD" w14:textId="77777777" w:rsidR="0077333D" w:rsidRPr="0077333D" w:rsidRDefault="0077333D" w:rsidP="0077333D">
      <w:pPr>
        <w:pStyle w:val="NoSpacing"/>
        <w:numPr>
          <w:ilvl w:val="0"/>
          <w:numId w:val="13"/>
        </w:numPr>
        <w:spacing w:before="80" w:after="80"/>
        <w:rPr>
          <w:rFonts w:ascii="Cambria" w:hAnsi="Cambria" w:cs="Times New Roman"/>
        </w:rPr>
      </w:pPr>
      <w:r w:rsidRPr="0077333D">
        <w:rPr>
          <w:rFonts w:ascii="Cambria" w:hAnsi="Cambria" w:cs="Times New Roman"/>
        </w:rPr>
        <w:t>Part II – Identify strategies to build leadership and expertise.</w:t>
      </w:r>
    </w:p>
    <w:p w14:paraId="2D0BB2C1" w14:textId="77777777" w:rsidR="0077333D" w:rsidRPr="0077333D" w:rsidRDefault="0077333D" w:rsidP="0077333D">
      <w:pPr>
        <w:pStyle w:val="NoSpacing"/>
        <w:numPr>
          <w:ilvl w:val="0"/>
          <w:numId w:val="13"/>
        </w:numPr>
        <w:spacing w:before="80" w:after="80"/>
        <w:rPr>
          <w:rFonts w:ascii="Cambria" w:hAnsi="Cambria" w:cs="Times New Roman"/>
        </w:rPr>
      </w:pPr>
      <w:r w:rsidRPr="0077333D">
        <w:rPr>
          <w:rFonts w:ascii="Cambria" w:hAnsi="Cambria" w:cs="Times New Roman"/>
        </w:rPr>
        <w:t>Part III – Make a plan.</w:t>
      </w:r>
    </w:p>
    <w:p w14:paraId="34D566F6" w14:textId="77777777" w:rsidR="0077333D" w:rsidRDefault="0077333D" w:rsidP="0077333D">
      <w:pPr>
        <w:spacing w:before="200"/>
        <w:rPr>
          <w:rFonts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7333D" w14:paraId="7F1AF492" w14:textId="77777777" w:rsidTr="00E250A8">
        <w:tc>
          <w:tcPr>
            <w:tcW w:w="9720" w:type="dxa"/>
            <w:shd w:val="clear" w:color="auto" w:fill="auto"/>
          </w:tcPr>
          <w:p w14:paraId="79DBC4D4" w14:textId="77777777" w:rsidR="0077333D" w:rsidRPr="00552193" w:rsidRDefault="0077333D" w:rsidP="00E250A8">
            <w:pPr>
              <w:pBdr>
                <w:bottom w:val="dotted" w:sz="4" w:space="0" w:color="auto"/>
              </w:pBdr>
              <w:tabs>
                <w:tab w:val="left" w:pos="1080"/>
              </w:tabs>
              <w:spacing w:before="120" w:after="120"/>
              <w:ind w:left="1080" w:hanging="1080"/>
              <w:rPr>
                <w:rFonts w:ascii="Century Gothic" w:hAnsi="Century Gothic"/>
                <w:b/>
                <w:bCs/>
              </w:rPr>
            </w:pPr>
            <w:r w:rsidRPr="00552193">
              <w:rPr>
                <w:rFonts w:ascii="Century Gothic" w:hAnsi="Century Gothic"/>
                <w:b/>
                <w:bCs/>
              </w:rPr>
              <w:t xml:space="preserve">Part I: </w:t>
            </w:r>
            <w:r w:rsidRPr="00552193">
              <w:rPr>
                <w:rFonts w:ascii="Century Gothic" w:hAnsi="Century Gothic"/>
                <w:b/>
                <w:bCs/>
              </w:rPr>
              <w:tab/>
              <w:t>What do faculty need in order to engage in math pathways implementation?</w:t>
            </w:r>
          </w:p>
        </w:tc>
      </w:tr>
    </w:tbl>
    <w:p w14:paraId="4825731C" w14:textId="77777777" w:rsidR="0077333D" w:rsidRPr="0077333D" w:rsidRDefault="0077333D" w:rsidP="0059742B">
      <w:pPr>
        <w:spacing w:before="120"/>
        <w:rPr>
          <w:rFonts w:cs="Times New Roman"/>
        </w:rPr>
      </w:pPr>
      <w:r w:rsidRPr="0077333D">
        <w:rPr>
          <w:rFonts w:cs="Times New Roman"/>
          <w:b/>
        </w:rPr>
        <w:t>Instructions:</w:t>
      </w:r>
      <w:r w:rsidRPr="0077333D">
        <w:rPr>
          <w:rFonts w:cs="Times New Roman"/>
        </w:rPr>
        <w:t xml:space="preserve"> The following content is based on </w:t>
      </w:r>
      <w:r w:rsidRPr="0077333D">
        <w:rPr>
          <w:rFonts w:cs="Times New Roman"/>
          <w:i/>
        </w:rPr>
        <w:t>Faculty Orientations Toward Instructional Reform</w:t>
      </w:r>
      <w:r w:rsidRPr="0077333D">
        <w:rPr>
          <w:rFonts w:cs="Times New Roman"/>
        </w:rPr>
        <w:t xml:space="preserve">, a publication of the Scaling Innovation project conducted by the Community College Research Center. We recommend that the team read this short article, which is available at </w:t>
      </w:r>
      <w:hyperlink r:id="rId7" w:history="1">
        <w:r w:rsidRPr="0077333D">
          <w:rPr>
            <w:rStyle w:val="Hyperlink"/>
            <w:rFonts w:cs="Times New Roman"/>
          </w:rPr>
          <w:t>http://ccrc.tc.columbia.edu/publications/faculty-orientations-toward-instructional-reform.html</w:t>
        </w:r>
      </w:hyperlink>
      <w:r w:rsidRPr="0077333D">
        <w:rPr>
          <w:rFonts w:cs="Times New Roman"/>
        </w:rPr>
        <w:t xml:space="preserve">.  </w:t>
      </w:r>
    </w:p>
    <w:p w14:paraId="5FBDCC91" w14:textId="77777777" w:rsidR="0077333D" w:rsidRPr="0077333D" w:rsidRDefault="0077333D" w:rsidP="0077333D">
      <w:pPr>
        <w:spacing w:before="200"/>
        <w:rPr>
          <w:rFonts w:cs="Times New Roman"/>
        </w:rPr>
      </w:pPr>
      <w:r w:rsidRPr="0077333D">
        <w:rPr>
          <w:rFonts w:cs="Times New Roman"/>
        </w:rPr>
        <w:t xml:space="preserve">The Scaling Innovation project found that when faced with an innovation, faculty tend to fall into three categories of readiness to engage: </w:t>
      </w:r>
      <w:r w:rsidRPr="0077333D">
        <w:rPr>
          <w:rFonts w:cs="Times New Roman"/>
          <w:i/>
        </w:rPr>
        <w:t>ready to act</w:t>
      </w:r>
      <w:r w:rsidRPr="0077333D">
        <w:rPr>
          <w:rFonts w:cs="Times New Roman"/>
        </w:rPr>
        <w:t xml:space="preserve">, </w:t>
      </w:r>
      <w:r w:rsidRPr="0077333D">
        <w:rPr>
          <w:rFonts w:cs="Times New Roman"/>
          <w:i/>
        </w:rPr>
        <w:t>ambivalent,</w:t>
      </w:r>
      <w:r w:rsidRPr="0077333D">
        <w:rPr>
          <w:rFonts w:cs="Times New Roman"/>
        </w:rPr>
        <w:t xml:space="preserve"> or </w:t>
      </w:r>
      <w:r w:rsidRPr="0077333D">
        <w:rPr>
          <w:rFonts w:cs="Times New Roman"/>
          <w:i/>
        </w:rPr>
        <w:t>reluctant to change</w:t>
      </w:r>
      <w:r w:rsidRPr="0077333D">
        <w:rPr>
          <w:rFonts w:cs="Times New Roman"/>
        </w:rPr>
        <w:t>. Within those categories, the researchers identified the most common reasons for the level of readiness. These categories are summarized in the table on the next page.</w:t>
      </w:r>
    </w:p>
    <w:p w14:paraId="0F5DB6E3" w14:textId="77777777" w:rsidR="0077333D" w:rsidRPr="0077333D" w:rsidRDefault="0077333D" w:rsidP="0077333D">
      <w:pPr>
        <w:spacing w:before="200"/>
        <w:rPr>
          <w:rFonts w:cs="Times New Roman"/>
        </w:rPr>
      </w:pPr>
      <w:r w:rsidRPr="0077333D">
        <w:rPr>
          <w:rFonts w:cs="Times New Roman"/>
        </w:rPr>
        <w:t xml:space="preserve">Categories of readiness should not be viewed as a judgment on a faculty member’s professionalism or commitment to students. The Scaling Innovation researchers note that “on the surface, ambivalence and reluctance can appear as apathy and obstructionism; however, our data suggest that faculty largely have rational and legitimate reactions to reform” (p. 3). </w:t>
      </w:r>
    </w:p>
    <w:p w14:paraId="193DDEA3" w14:textId="77777777" w:rsidR="0077333D" w:rsidRPr="0077333D" w:rsidRDefault="0077333D" w:rsidP="0077333D">
      <w:pPr>
        <w:spacing w:before="200"/>
        <w:rPr>
          <w:rFonts w:cs="Times New Roman"/>
        </w:rPr>
      </w:pPr>
      <w:r w:rsidRPr="0077333D">
        <w:rPr>
          <w:rFonts w:cs="Times New Roman"/>
        </w:rPr>
        <w:t xml:space="preserve">We view these categories as a way to understand those reactions from faculty and to identify what they </w:t>
      </w:r>
      <w:r w:rsidRPr="0077333D">
        <w:rPr>
          <w:rFonts w:cs="Times New Roman"/>
          <w:i/>
        </w:rPr>
        <w:t>need</w:t>
      </w:r>
      <w:r w:rsidRPr="0077333D">
        <w:rPr>
          <w:rFonts w:cs="Times New Roman"/>
        </w:rPr>
        <w:t xml:space="preserve"> in order to engage with the work. We also note that all faculty—even those who are eager to engage—need support to sustain them through the challenges of making meaningful change individually and institutionally. For example, a passionate faculty member may feel discouraged by what he or she might perceive as a slow pace of change or by not having meaningful opportunities to contribute to the work.</w:t>
      </w:r>
    </w:p>
    <w:p w14:paraId="7592C138" w14:textId="77777777" w:rsidR="0077333D" w:rsidRPr="0077333D" w:rsidRDefault="0077333D" w:rsidP="0077333D">
      <w:pPr>
        <w:pStyle w:val="ListParagraph"/>
        <w:numPr>
          <w:ilvl w:val="0"/>
          <w:numId w:val="5"/>
        </w:numPr>
        <w:spacing w:before="200" w:after="160"/>
        <w:ind w:left="360"/>
        <w:contextualSpacing w:val="0"/>
        <w:rPr>
          <w:rFonts w:cs="Times New Roman"/>
        </w:rPr>
      </w:pPr>
      <w:r w:rsidRPr="0077333D">
        <w:rPr>
          <w:rFonts w:cs="Times New Roman"/>
        </w:rPr>
        <w:lastRenderedPageBreak/>
        <w:t>Work collaboratively with a group to brainstorm supports that faculty in each category might need.</w:t>
      </w:r>
    </w:p>
    <w:tbl>
      <w:tblPr>
        <w:tblStyle w:val="TableGrid"/>
        <w:tblW w:w="0" w:type="auto"/>
        <w:tblLook w:val="04A0" w:firstRow="1" w:lastRow="0" w:firstColumn="1" w:lastColumn="0" w:noHBand="0" w:noVBand="1"/>
      </w:tblPr>
      <w:tblGrid>
        <w:gridCol w:w="4793"/>
        <w:gridCol w:w="4783"/>
      </w:tblGrid>
      <w:tr w:rsidR="0077333D" w14:paraId="43BE08E7" w14:textId="77777777" w:rsidTr="0077333D">
        <w:tc>
          <w:tcPr>
            <w:tcW w:w="9720" w:type="dxa"/>
            <w:gridSpan w:val="2"/>
            <w:shd w:val="clear" w:color="auto" w:fill="808080" w:themeFill="background1" w:themeFillShade="80"/>
          </w:tcPr>
          <w:p w14:paraId="1A0B6F6B" w14:textId="77777777" w:rsidR="0077333D" w:rsidRPr="00144E7D" w:rsidRDefault="0077333D" w:rsidP="00144E7D">
            <w:pPr>
              <w:pStyle w:val="NoSpacing"/>
              <w:spacing w:before="120" w:after="120"/>
              <w:jc w:val="center"/>
              <w:rPr>
                <w:rFonts w:ascii="Century Gothic" w:hAnsi="Century Gothic"/>
                <w:b/>
                <w:color w:val="FFFFFF" w:themeColor="background1"/>
                <w:spacing w:val="20"/>
              </w:rPr>
            </w:pPr>
            <w:r w:rsidRPr="00144E7D">
              <w:rPr>
                <w:rFonts w:ascii="Century Gothic" w:hAnsi="Century Gothic"/>
                <w:b/>
                <w:bCs/>
                <w:color w:val="FFFFFF" w:themeColor="background1"/>
              </w:rPr>
              <w:t>Faculty who are ready to act</w:t>
            </w:r>
          </w:p>
        </w:tc>
      </w:tr>
      <w:tr w:rsidR="0077333D" w14:paraId="5B991EF9" w14:textId="77777777" w:rsidTr="00E250A8">
        <w:tc>
          <w:tcPr>
            <w:tcW w:w="4860" w:type="dxa"/>
            <w:shd w:val="clear" w:color="auto" w:fill="D9D9D9" w:themeFill="background1" w:themeFillShade="D9"/>
          </w:tcPr>
          <w:p w14:paraId="6C686620" w14:textId="77777777" w:rsidR="0077333D" w:rsidRPr="00DC3D39" w:rsidRDefault="0077333D" w:rsidP="00E250A8">
            <w:pPr>
              <w:pStyle w:val="NoSpacing"/>
              <w:spacing w:before="80" w:after="80"/>
              <w:rPr>
                <w:rFonts w:ascii="Century Gothic" w:hAnsi="Century Gothic"/>
                <w:b/>
              </w:rPr>
            </w:pPr>
            <w:r w:rsidRPr="00DC3D39">
              <w:rPr>
                <w:rFonts w:ascii="Century Gothic" w:hAnsi="Century Gothic"/>
                <w:b/>
              </w:rPr>
              <w:t>May feel . . .</w:t>
            </w:r>
          </w:p>
        </w:tc>
        <w:tc>
          <w:tcPr>
            <w:tcW w:w="4860" w:type="dxa"/>
            <w:shd w:val="clear" w:color="auto" w:fill="D9D9D9" w:themeFill="background1" w:themeFillShade="D9"/>
          </w:tcPr>
          <w:p w14:paraId="7C22BC27" w14:textId="77777777" w:rsidR="0077333D" w:rsidRPr="00DC3D39" w:rsidRDefault="0077333D" w:rsidP="00E250A8">
            <w:pPr>
              <w:pStyle w:val="NoSpacing"/>
              <w:spacing w:before="80" w:after="80"/>
              <w:rPr>
                <w:rFonts w:ascii="Century Gothic" w:hAnsi="Century Gothic"/>
                <w:b/>
              </w:rPr>
            </w:pPr>
            <w:r w:rsidRPr="00DC3D39">
              <w:rPr>
                <w:rFonts w:ascii="Century Gothic" w:hAnsi="Century Gothic"/>
                <w:b/>
              </w:rPr>
              <w:t>Might need . . .</w:t>
            </w:r>
          </w:p>
        </w:tc>
      </w:tr>
      <w:tr w:rsidR="0077333D" w14:paraId="33B204C0" w14:textId="77777777" w:rsidTr="00E250A8">
        <w:trPr>
          <w:cantSplit/>
        </w:trPr>
        <w:tc>
          <w:tcPr>
            <w:tcW w:w="4860" w:type="dxa"/>
          </w:tcPr>
          <w:p w14:paraId="1C462B93" w14:textId="77777777" w:rsidR="0077333D" w:rsidRPr="00552193" w:rsidRDefault="0077333D" w:rsidP="00E250A8">
            <w:pPr>
              <w:pStyle w:val="NoSpacing"/>
              <w:spacing w:before="80" w:after="80"/>
            </w:pPr>
            <w:r w:rsidRPr="00552193">
              <w:t>My teaching philosophy and current practice are aligned with reform philosophy.</w:t>
            </w:r>
          </w:p>
        </w:tc>
        <w:tc>
          <w:tcPr>
            <w:tcW w:w="4860" w:type="dxa"/>
          </w:tcPr>
          <w:p w14:paraId="4B025635" w14:textId="77777777" w:rsidR="0077333D" w:rsidRDefault="0077333D" w:rsidP="00E250A8">
            <w:pPr>
              <w:pStyle w:val="NoSpacing"/>
              <w:spacing w:before="80" w:after="80"/>
            </w:pPr>
          </w:p>
        </w:tc>
      </w:tr>
      <w:tr w:rsidR="0077333D" w14:paraId="4F3FFD4F" w14:textId="77777777" w:rsidTr="00E250A8">
        <w:trPr>
          <w:cantSplit/>
        </w:trPr>
        <w:tc>
          <w:tcPr>
            <w:tcW w:w="4860" w:type="dxa"/>
          </w:tcPr>
          <w:p w14:paraId="4F6CF6E4" w14:textId="77777777" w:rsidR="0077333D" w:rsidRPr="00552193" w:rsidRDefault="0077333D" w:rsidP="00E250A8">
            <w:pPr>
              <w:pStyle w:val="NoSpacing"/>
              <w:spacing w:before="80" w:after="80"/>
            </w:pPr>
            <w:r w:rsidRPr="00552193">
              <w:t>I’m willing to change, but I need support.</w:t>
            </w:r>
          </w:p>
        </w:tc>
        <w:tc>
          <w:tcPr>
            <w:tcW w:w="4860" w:type="dxa"/>
          </w:tcPr>
          <w:p w14:paraId="22486B10" w14:textId="77777777" w:rsidR="0077333D" w:rsidRDefault="0077333D" w:rsidP="00E250A8">
            <w:pPr>
              <w:pStyle w:val="NoSpacing"/>
              <w:spacing w:before="80" w:after="80"/>
            </w:pPr>
          </w:p>
        </w:tc>
      </w:tr>
      <w:tr w:rsidR="0077333D" w14:paraId="565DE2A1" w14:textId="77777777" w:rsidTr="00E250A8">
        <w:trPr>
          <w:cantSplit/>
        </w:trPr>
        <w:tc>
          <w:tcPr>
            <w:tcW w:w="4860" w:type="dxa"/>
          </w:tcPr>
          <w:p w14:paraId="64E597E3" w14:textId="77777777" w:rsidR="0077333D" w:rsidRPr="00552193" w:rsidRDefault="0077333D" w:rsidP="00E250A8">
            <w:pPr>
              <w:pStyle w:val="NoSpacing"/>
              <w:spacing w:before="80" w:after="80"/>
            </w:pPr>
            <w:r w:rsidRPr="00552193">
              <w:t>I want to participate but not necessarily because I believe in the reform.</w:t>
            </w:r>
          </w:p>
        </w:tc>
        <w:tc>
          <w:tcPr>
            <w:tcW w:w="4860" w:type="dxa"/>
          </w:tcPr>
          <w:p w14:paraId="5700D7A6" w14:textId="77777777" w:rsidR="0077333D" w:rsidRDefault="0077333D" w:rsidP="00E250A8">
            <w:pPr>
              <w:pStyle w:val="NoSpacing"/>
              <w:spacing w:before="80" w:after="80"/>
            </w:pPr>
          </w:p>
        </w:tc>
      </w:tr>
    </w:tbl>
    <w:p w14:paraId="6ACC26D5" w14:textId="77777777" w:rsidR="0077333D" w:rsidRPr="007C0069" w:rsidRDefault="0077333D" w:rsidP="0059742B">
      <w:pPr>
        <w:spacing w:before="120"/>
        <w:rPr>
          <w:rFonts w:cs="Times New Roman"/>
          <w:sz w:val="22"/>
          <w:szCs w:val="22"/>
        </w:rPr>
      </w:pPr>
    </w:p>
    <w:tbl>
      <w:tblPr>
        <w:tblStyle w:val="TableGrid"/>
        <w:tblW w:w="0" w:type="auto"/>
        <w:tblLook w:val="04A0" w:firstRow="1" w:lastRow="0" w:firstColumn="1" w:lastColumn="0" w:noHBand="0" w:noVBand="1"/>
      </w:tblPr>
      <w:tblGrid>
        <w:gridCol w:w="4795"/>
        <w:gridCol w:w="4781"/>
      </w:tblGrid>
      <w:tr w:rsidR="0077333D" w14:paraId="0FAEB1E6" w14:textId="77777777" w:rsidTr="0077333D">
        <w:tc>
          <w:tcPr>
            <w:tcW w:w="9720" w:type="dxa"/>
            <w:gridSpan w:val="2"/>
            <w:shd w:val="clear" w:color="auto" w:fill="808080" w:themeFill="background1" w:themeFillShade="80"/>
          </w:tcPr>
          <w:p w14:paraId="34FAAC3F" w14:textId="77777777" w:rsidR="0077333D" w:rsidRPr="00144E7D" w:rsidRDefault="0077333D" w:rsidP="00144E7D">
            <w:pPr>
              <w:pStyle w:val="NoSpacing"/>
              <w:spacing w:before="120" w:after="120"/>
              <w:jc w:val="center"/>
              <w:rPr>
                <w:rFonts w:ascii="Century Gothic" w:hAnsi="Century Gothic"/>
                <w:b/>
                <w:i/>
                <w:color w:val="FFFFFF" w:themeColor="background1"/>
                <w:spacing w:val="20"/>
              </w:rPr>
            </w:pPr>
            <w:r w:rsidRPr="00144E7D">
              <w:rPr>
                <w:rFonts w:ascii="Century Gothic" w:hAnsi="Century Gothic"/>
                <w:b/>
                <w:bCs/>
                <w:color w:val="FFFFFF" w:themeColor="background1"/>
              </w:rPr>
              <w:t>Faculty who are ambivalent</w:t>
            </w:r>
          </w:p>
        </w:tc>
      </w:tr>
      <w:tr w:rsidR="0077333D" w14:paraId="1E4754DE" w14:textId="77777777" w:rsidTr="00E250A8">
        <w:tc>
          <w:tcPr>
            <w:tcW w:w="4860" w:type="dxa"/>
            <w:shd w:val="clear" w:color="auto" w:fill="D9D9D9" w:themeFill="background1" w:themeFillShade="D9"/>
          </w:tcPr>
          <w:p w14:paraId="3BEB8332" w14:textId="77777777" w:rsidR="0077333D" w:rsidRPr="00DC3D39" w:rsidRDefault="0077333D" w:rsidP="00DC3D39">
            <w:pPr>
              <w:pStyle w:val="NoSpacing"/>
              <w:spacing w:before="80" w:after="80"/>
              <w:rPr>
                <w:rFonts w:ascii="Century Gothic" w:hAnsi="Century Gothic"/>
                <w:b/>
              </w:rPr>
            </w:pPr>
            <w:r w:rsidRPr="00DC3D39">
              <w:rPr>
                <w:rFonts w:ascii="Century Gothic" w:hAnsi="Century Gothic"/>
                <w:b/>
              </w:rPr>
              <w:t>May feel . . .</w:t>
            </w:r>
          </w:p>
        </w:tc>
        <w:tc>
          <w:tcPr>
            <w:tcW w:w="4860" w:type="dxa"/>
            <w:shd w:val="clear" w:color="auto" w:fill="D9D9D9" w:themeFill="background1" w:themeFillShade="D9"/>
          </w:tcPr>
          <w:p w14:paraId="5514E94F" w14:textId="77777777" w:rsidR="0077333D" w:rsidRPr="00DC3D39" w:rsidRDefault="0077333D" w:rsidP="00DC3D39">
            <w:pPr>
              <w:pStyle w:val="NoSpacing"/>
              <w:spacing w:before="80" w:after="80"/>
              <w:rPr>
                <w:rFonts w:ascii="Century Gothic" w:hAnsi="Century Gothic"/>
                <w:b/>
              </w:rPr>
            </w:pPr>
            <w:r w:rsidRPr="00DC3D39">
              <w:rPr>
                <w:rFonts w:ascii="Century Gothic" w:hAnsi="Century Gothic"/>
                <w:b/>
              </w:rPr>
              <w:t>Might need . . .</w:t>
            </w:r>
          </w:p>
        </w:tc>
      </w:tr>
      <w:tr w:rsidR="0077333D" w14:paraId="0374E579" w14:textId="77777777" w:rsidTr="00E250A8">
        <w:tc>
          <w:tcPr>
            <w:tcW w:w="4860" w:type="dxa"/>
          </w:tcPr>
          <w:p w14:paraId="318F81F8" w14:textId="77777777" w:rsidR="0077333D" w:rsidRPr="00552193" w:rsidRDefault="0077333D" w:rsidP="00E250A8">
            <w:pPr>
              <w:pStyle w:val="NoSpacing"/>
              <w:spacing w:before="80" w:after="80"/>
            </w:pPr>
            <w:r w:rsidRPr="00552193">
              <w:t>I have other professional priorities.</w:t>
            </w:r>
          </w:p>
        </w:tc>
        <w:tc>
          <w:tcPr>
            <w:tcW w:w="4860" w:type="dxa"/>
          </w:tcPr>
          <w:p w14:paraId="6979DF35" w14:textId="77777777" w:rsidR="0077333D" w:rsidRDefault="0077333D" w:rsidP="00E250A8">
            <w:pPr>
              <w:pStyle w:val="NoSpacing"/>
              <w:spacing w:before="80" w:after="80"/>
            </w:pPr>
          </w:p>
        </w:tc>
      </w:tr>
      <w:tr w:rsidR="0077333D" w14:paraId="2B41C155" w14:textId="77777777" w:rsidTr="00E250A8">
        <w:tc>
          <w:tcPr>
            <w:tcW w:w="4860" w:type="dxa"/>
          </w:tcPr>
          <w:p w14:paraId="3694180B" w14:textId="77777777" w:rsidR="0077333D" w:rsidRPr="00552193" w:rsidRDefault="0077333D" w:rsidP="00E250A8">
            <w:pPr>
              <w:pStyle w:val="NoSpacing"/>
              <w:spacing w:before="80" w:after="80"/>
            </w:pPr>
            <w:r w:rsidRPr="00552193">
              <w:t>I want to see evidence of effectiveness.</w:t>
            </w:r>
          </w:p>
        </w:tc>
        <w:tc>
          <w:tcPr>
            <w:tcW w:w="4860" w:type="dxa"/>
          </w:tcPr>
          <w:p w14:paraId="6A6B239A" w14:textId="77777777" w:rsidR="0077333D" w:rsidRDefault="0077333D" w:rsidP="00E250A8">
            <w:pPr>
              <w:pStyle w:val="NoSpacing"/>
              <w:spacing w:before="80" w:after="80"/>
            </w:pPr>
          </w:p>
        </w:tc>
      </w:tr>
      <w:tr w:rsidR="0077333D" w14:paraId="1D70D8C8" w14:textId="77777777" w:rsidTr="00E250A8">
        <w:tc>
          <w:tcPr>
            <w:tcW w:w="4860" w:type="dxa"/>
          </w:tcPr>
          <w:p w14:paraId="14A2B36C" w14:textId="77777777" w:rsidR="0077333D" w:rsidRPr="00552193" w:rsidRDefault="0077333D" w:rsidP="00E250A8">
            <w:pPr>
              <w:pStyle w:val="NoSpacing"/>
              <w:spacing w:before="80" w:after="80"/>
            </w:pPr>
            <w:r w:rsidRPr="00552193">
              <w:t>I don’t know if I can do this well.</w:t>
            </w:r>
          </w:p>
        </w:tc>
        <w:tc>
          <w:tcPr>
            <w:tcW w:w="4860" w:type="dxa"/>
          </w:tcPr>
          <w:p w14:paraId="40C9EC08" w14:textId="77777777" w:rsidR="0077333D" w:rsidRDefault="0077333D" w:rsidP="00E250A8">
            <w:pPr>
              <w:pStyle w:val="NoSpacing"/>
              <w:spacing w:before="80" w:after="80"/>
            </w:pPr>
          </w:p>
        </w:tc>
      </w:tr>
    </w:tbl>
    <w:p w14:paraId="0D393D63" w14:textId="77777777" w:rsidR="0077333D" w:rsidRPr="007C0069" w:rsidRDefault="0077333D" w:rsidP="0059742B">
      <w:pPr>
        <w:spacing w:before="120"/>
        <w:rPr>
          <w:rFonts w:cs="Times New Roman"/>
          <w:sz w:val="22"/>
          <w:szCs w:val="22"/>
        </w:rPr>
      </w:pPr>
    </w:p>
    <w:tbl>
      <w:tblPr>
        <w:tblStyle w:val="TableGrid"/>
        <w:tblW w:w="0" w:type="auto"/>
        <w:tblLook w:val="04A0" w:firstRow="1" w:lastRow="0" w:firstColumn="1" w:lastColumn="0" w:noHBand="0" w:noVBand="1"/>
      </w:tblPr>
      <w:tblGrid>
        <w:gridCol w:w="4792"/>
        <w:gridCol w:w="4784"/>
      </w:tblGrid>
      <w:tr w:rsidR="0077333D" w14:paraId="316E6AB9" w14:textId="77777777" w:rsidTr="0077333D">
        <w:tc>
          <w:tcPr>
            <w:tcW w:w="9720" w:type="dxa"/>
            <w:gridSpan w:val="2"/>
            <w:shd w:val="clear" w:color="auto" w:fill="808080" w:themeFill="background1" w:themeFillShade="80"/>
          </w:tcPr>
          <w:p w14:paraId="67F4B270" w14:textId="77777777" w:rsidR="0077333D" w:rsidRPr="00144E7D" w:rsidRDefault="0077333D" w:rsidP="00144E7D">
            <w:pPr>
              <w:pStyle w:val="NoSpacing"/>
              <w:spacing w:before="120" w:after="120"/>
              <w:jc w:val="center"/>
              <w:rPr>
                <w:rFonts w:ascii="Century Gothic" w:hAnsi="Century Gothic"/>
                <w:b/>
                <w:i/>
                <w:color w:val="FFFFFF" w:themeColor="background1"/>
                <w:spacing w:val="20"/>
              </w:rPr>
            </w:pPr>
            <w:r w:rsidRPr="00144E7D">
              <w:rPr>
                <w:rFonts w:ascii="Century Gothic" w:hAnsi="Century Gothic"/>
                <w:b/>
                <w:bCs/>
                <w:color w:val="FFFFFF" w:themeColor="background1"/>
              </w:rPr>
              <w:t>Faculty who are reluctant to change</w:t>
            </w:r>
          </w:p>
        </w:tc>
      </w:tr>
      <w:tr w:rsidR="0077333D" w14:paraId="118573F4" w14:textId="77777777" w:rsidTr="00E250A8">
        <w:tc>
          <w:tcPr>
            <w:tcW w:w="4860" w:type="dxa"/>
            <w:shd w:val="clear" w:color="auto" w:fill="D9D9D9" w:themeFill="background1" w:themeFillShade="D9"/>
          </w:tcPr>
          <w:p w14:paraId="74011498" w14:textId="77777777" w:rsidR="0077333D" w:rsidRPr="00DC3D39" w:rsidRDefault="0077333D" w:rsidP="00DC3D39">
            <w:pPr>
              <w:pStyle w:val="NoSpacing"/>
              <w:spacing w:before="80" w:after="80"/>
              <w:rPr>
                <w:rFonts w:ascii="Century Gothic" w:hAnsi="Century Gothic"/>
                <w:b/>
              </w:rPr>
            </w:pPr>
            <w:r w:rsidRPr="00DC3D39">
              <w:rPr>
                <w:rFonts w:ascii="Century Gothic" w:hAnsi="Century Gothic"/>
                <w:b/>
              </w:rPr>
              <w:t>May feel . . .</w:t>
            </w:r>
          </w:p>
        </w:tc>
        <w:tc>
          <w:tcPr>
            <w:tcW w:w="4860" w:type="dxa"/>
            <w:shd w:val="clear" w:color="auto" w:fill="D9D9D9" w:themeFill="background1" w:themeFillShade="D9"/>
          </w:tcPr>
          <w:p w14:paraId="687FFFCE" w14:textId="77777777" w:rsidR="0077333D" w:rsidRPr="00DC3D39" w:rsidRDefault="0077333D" w:rsidP="00DC3D39">
            <w:pPr>
              <w:pStyle w:val="NoSpacing"/>
              <w:spacing w:before="80" w:after="80"/>
              <w:rPr>
                <w:rFonts w:ascii="Century Gothic" w:hAnsi="Century Gothic"/>
                <w:b/>
              </w:rPr>
            </w:pPr>
            <w:r w:rsidRPr="00DC3D39">
              <w:rPr>
                <w:rFonts w:ascii="Century Gothic" w:hAnsi="Century Gothic"/>
                <w:b/>
              </w:rPr>
              <w:t>Might need . . .</w:t>
            </w:r>
          </w:p>
        </w:tc>
      </w:tr>
      <w:tr w:rsidR="0077333D" w14:paraId="3593AFAD" w14:textId="77777777" w:rsidTr="00E250A8">
        <w:tc>
          <w:tcPr>
            <w:tcW w:w="4860" w:type="dxa"/>
          </w:tcPr>
          <w:p w14:paraId="47BE239E" w14:textId="77777777" w:rsidR="0077333D" w:rsidRPr="00552193" w:rsidRDefault="0077333D" w:rsidP="00E250A8">
            <w:pPr>
              <w:pStyle w:val="NoSpacing"/>
              <w:spacing w:before="80" w:after="80"/>
            </w:pPr>
            <w:r w:rsidRPr="00552193">
              <w:t>I am satisfied with the status quo.</w:t>
            </w:r>
          </w:p>
        </w:tc>
        <w:tc>
          <w:tcPr>
            <w:tcW w:w="4860" w:type="dxa"/>
          </w:tcPr>
          <w:p w14:paraId="64694547" w14:textId="77777777" w:rsidR="0077333D" w:rsidRDefault="0077333D" w:rsidP="00E250A8">
            <w:pPr>
              <w:pStyle w:val="NoSpacing"/>
              <w:spacing w:before="80" w:after="80"/>
            </w:pPr>
          </w:p>
        </w:tc>
      </w:tr>
      <w:tr w:rsidR="0077333D" w14:paraId="7F79BE55" w14:textId="77777777" w:rsidTr="00E250A8">
        <w:tc>
          <w:tcPr>
            <w:tcW w:w="4860" w:type="dxa"/>
          </w:tcPr>
          <w:p w14:paraId="7DC7557D" w14:textId="77777777" w:rsidR="0077333D" w:rsidRPr="00552193" w:rsidRDefault="0077333D" w:rsidP="00E250A8">
            <w:pPr>
              <w:pStyle w:val="NoSpacing"/>
              <w:spacing w:before="80" w:after="80"/>
            </w:pPr>
            <w:r w:rsidRPr="00552193">
              <w:t>I don’t believe this reform will be effective.</w:t>
            </w:r>
          </w:p>
        </w:tc>
        <w:tc>
          <w:tcPr>
            <w:tcW w:w="4860" w:type="dxa"/>
          </w:tcPr>
          <w:p w14:paraId="63278DDA" w14:textId="77777777" w:rsidR="0077333D" w:rsidRDefault="0077333D" w:rsidP="00E250A8">
            <w:pPr>
              <w:pStyle w:val="NoSpacing"/>
              <w:spacing w:before="80" w:after="80"/>
            </w:pPr>
          </w:p>
        </w:tc>
      </w:tr>
      <w:tr w:rsidR="0077333D" w14:paraId="0AA6FA68" w14:textId="77777777" w:rsidTr="00E250A8">
        <w:tc>
          <w:tcPr>
            <w:tcW w:w="4860" w:type="dxa"/>
          </w:tcPr>
          <w:p w14:paraId="7C87B06C" w14:textId="77777777" w:rsidR="0077333D" w:rsidRPr="00552193" w:rsidRDefault="0077333D" w:rsidP="00E250A8">
            <w:pPr>
              <w:pStyle w:val="NoSpacing"/>
              <w:spacing w:before="80" w:after="80"/>
            </w:pPr>
            <w:r w:rsidRPr="00552193">
              <w:t>This reform is not consistent with my beliefs about my role, teaching, and/or students.</w:t>
            </w:r>
          </w:p>
        </w:tc>
        <w:tc>
          <w:tcPr>
            <w:tcW w:w="4860" w:type="dxa"/>
          </w:tcPr>
          <w:p w14:paraId="7C880EA6" w14:textId="77777777" w:rsidR="0077333D" w:rsidRDefault="0077333D" w:rsidP="00E250A8">
            <w:pPr>
              <w:pStyle w:val="NoSpacing"/>
              <w:spacing w:before="80" w:after="80"/>
            </w:pPr>
          </w:p>
        </w:tc>
      </w:tr>
    </w:tbl>
    <w:p w14:paraId="42E12440" w14:textId="77777777" w:rsidR="0077333D" w:rsidRPr="000C4843" w:rsidRDefault="0077333D" w:rsidP="0059742B">
      <w:pPr>
        <w:pStyle w:val="ListParagraph"/>
        <w:spacing w:before="120"/>
        <w:ind w:left="360"/>
        <w:contextualSpacing w:val="0"/>
        <w:rPr>
          <w:rFonts w:cs="Times New Roman"/>
          <w:sz w:val="22"/>
          <w:szCs w:val="22"/>
        </w:rPr>
      </w:pPr>
    </w:p>
    <w:p w14:paraId="5AF25093" w14:textId="7B53D4C0" w:rsidR="0077333D" w:rsidRPr="0059742B" w:rsidRDefault="0077333D" w:rsidP="0059742B">
      <w:pPr>
        <w:pStyle w:val="ListParagraph"/>
        <w:numPr>
          <w:ilvl w:val="0"/>
          <w:numId w:val="5"/>
        </w:numPr>
        <w:spacing w:before="200"/>
        <w:ind w:left="360"/>
        <w:rPr>
          <w:rFonts w:cs="Times New Roman"/>
        </w:rPr>
      </w:pPr>
      <w:r w:rsidRPr="00552193">
        <w:rPr>
          <w:rFonts w:cs="Times New Roman"/>
        </w:rPr>
        <w:t xml:space="preserve">Where do you think most of your faculty fall within these categories? Draw asterisks by the top four or five items in the “Might need” column in terms of number of faculty. </w:t>
      </w:r>
      <w:r w:rsidRPr="00552193">
        <w:rPr>
          <w:rFonts w:cs="Times New Roman"/>
          <w:i/>
        </w:rPr>
        <w:t>Reminder: Avoid making judgments about individuals’ commitment and professionalism.</w:t>
      </w:r>
    </w:p>
    <w:p w14:paraId="1D09EC39" w14:textId="77777777" w:rsidR="0077333D" w:rsidRPr="00552193" w:rsidRDefault="0077333D" w:rsidP="0077333D">
      <w:pPr>
        <w:pStyle w:val="ListParagraph"/>
        <w:numPr>
          <w:ilvl w:val="0"/>
          <w:numId w:val="5"/>
        </w:numPr>
        <w:spacing w:before="200" w:after="40"/>
        <w:ind w:left="360"/>
        <w:contextualSpacing w:val="0"/>
        <w:rPr>
          <w:rFonts w:cs="Times New Roman"/>
        </w:rPr>
      </w:pPr>
      <w:r w:rsidRPr="00552193">
        <w:rPr>
          <w:rFonts w:cs="Times New Roman"/>
        </w:rPr>
        <w:t>Review the list and look for “high impact” strategies—that is, strategies that have the potential to have a large impact in terms of:</w:t>
      </w:r>
    </w:p>
    <w:p w14:paraId="20B811DD" w14:textId="77777777" w:rsidR="0077333D" w:rsidRPr="00552193" w:rsidRDefault="0077333D" w:rsidP="0077333D">
      <w:pPr>
        <w:pStyle w:val="ListParagraph"/>
        <w:numPr>
          <w:ilvl w:val="0"/>
          <w:numId w:val="12"/>
        </w:numPr>
        <w:spacing w:before="80" w:after="80"/>
        <w:ind w:left="1080"/>
        <w:contextualSpacing w:val="0"/>
        <w:rPr>
          <w:rFonts w:cs="Times New Roman"/>
        </w:rPr>
      </w:pPr>
      <w:r w:rsidRPr="00552193">
        <w:rPr>
          <w:rFonts w:cs="Times New Roman"/>
        </w:rPr>
        <w:t>Number of people who engage.</w:t>
      </w:r>
    </w:p>
    <w:p w14:paraId="509205E1" w14:textId="77777777" w:rsidR="0077333D" w:rsidRPr="00552193" w:rsidRDefault="0077333D" w:rsidP="0077333D">
      <w:pPr>
        <w:pStyle w:val="ListParagraph"/>
        <w:numPr>
          <w:ilvl w:val="0"/>
          <w:numId w:val="12"/>
        </w:numPr>
        <w:spacing w:before="200"/>
        <w:ind w:left="1080"/>
        <w:rPr>
          <w:rFonts w:cs="Times New Roman"/>
        </w:rPr>
      </w:pPr>
      <w:r w:rsidRPr="00552193">
        <w:rPr>
          <w:rFonts w:cs="Times New Roman"/>
        </w:rPr>
        <w:t>Amount of change within individuals.</w:t>
      </w:r>
    </w:p>
    <w:p w14:paraId="0CF8643B" w14:textId="77777777" w:rsidR="0077333D" w:rsidRDefault="0077333D" w:rsidP="0077333D">
      <w:pPr>
        <w:tabs>
          <w:tab w:val="left" w:pos="1080"/>
        </w:tabs>
        <w:spacing w:before="200"/>
        <w:ind w:left="360"/>
        <w:rPr>
          <w:rFonts w:cs="Times New Roman"/>
          <w:sz w:val="22"/>
          <w:szCs w:val="22"/>
        </w:rPr>
      </w:pPr>
      <w:r w:rsidRPr="00552193">
        <w:rPr>
          <w:rFonts w:cs="Times New Roman"/>
        </w:rPr>
        <w:t xml:space="preserve">Especially look for strategies that might be effective for multiple categories. </w:t>
      </w:r>
      <w:r>
        <w:rPr>
          <w:rFonts w:cs="Times New Roman"/>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7333D" w14:paraId="501A50AC" w14:textId="77777777" w:rsidTr="00E250A8">
        <w:tc>
          <w:tcPr>
            <w:tcW w:w="9720" w:type="dxa"/>
            <w:shd w:val="clear" w:color="auto" w:fill="auto"/>
          </w:tcPr>
          <w:p w14:paraId="3029D698" w14:textId="77777777" w:rsidR="0077333D" w:rsidRPr="00552193" w:rsidRDefault="0077333D" w:rsidP="00E250A8">
            <w:pPr>
              <w:pBdr>
                <w:bottom w:val="dotted" w:sz="4" w:space="0" w:color="auto"/>
              </w:pBdr>
              <w:tabs>
                <w:tab w:val="left" w:pos="1080"/>
              </w:tabs>
              <w:spacing w:before="120" w:after="120"/>
              <w:ind w:left="1080" w:hanging="1080"/>
              <w:rPr>
                <w:rFonts w:ascii="Century Gothic" w:hAnsi="Century Gothic"/>
                <w:b/>
                <w:bCs/>
              </w:rPr>
            </w:pPr>
            <w:r w:rsidRPr="00552193">
              <w:rPr>
                <w:rFonts w:ascii="Century Gothic" w:hAnsi="Century Gothic"/>
                <w:b/>
                <w:bCs/>
              </w:rPr>
              <w:t>Part II: Building champions and experts</w:t>
            </w:r>
          </w:p>
        </w:tc>
      </w:tr>
    </w:tbl>
    <w:p w14:paraId="1C95ACF4" w14:textId="77777777" w:rsidR="0077333D" w:rsidRPr="009D2CEC" w:rsidRDefault="0077333D" w:rsidP="0059742B">
      <w:pPr>
        <w:spacing w:before="120"/>
        <w:rPr>
          <w:rFonts w:cs="Times New Roman"/>
        </w:rPr>
      </w:pPr>
      <w:r w:rsidRPr="009D2CEC">
        <w:rPr>
          <w:rFonts w:cs="Times New Roman"/>
          <w:b/>
        </w:rPr>
        <w:t>Purpose:</w:t>
      </w:r>
      <w:r w:rsidRPr="009D2CEC">
        <w:rPr>
          <w:rFonts w:cs="Times New Roman"/>
        </w:rPr>
        <w:t xml:space="preserve"> Your local champions and experts are the greatest strength that your institution has in implementing math pathways. These people are also the leaders who will do the extra work that comes with implementing change and will help build interest and excitement. We view these roles in the following way.</w:t>
      </w:r>
    </w:p>
    <w:p w14:paraId="3518D7A5" w14:textId="77777777" w:rsidR="0077333D" w:rsidRPr="009D2CEC" w:rsidRDefault="0077333D" w:rsidP="0077333D">
      <w:pPr>
        <w:spacing w:before="200"/>
        <w:ind w:left="720"/>
        <w:rPr>
          <w:rFonts w:cs="Times New Roman"/>
        </w:rPr>
      </w:pPr>
      <w:r w:rsidRPr="009D2CEC">
        <w:rPr>
          <w:rFonts w:cs="Times New Roman"/>
        </w:rPr>
        <w:t>Champions are passionate and articulate about how math pathways can change students’ lives for the better. They are eager to advocate for the work and are effective communicators. Champions might emerge from other groups as well. For example, student support staff or faculty in other disciplines might be champions because of the positive impact they see on students.</w:t>
      </w:r>
    </w:p>
    <w:p w14:paraId="1515A7F7" w14:textId="77777777" w:rsidR="0077333D" w:rsidRPr="009D2CEC" w:rsidRDefault="0077333D" w:rsidP="0077333D">
      <w:pPr>
        <w:spacing w:before="200"/>
        <w:ind w:left="720"/>
        <w:rPr>
          <w:rFonts w:cs="Times New Roman"/>
        </w:rPr>
      </w:pPr>
      <w:r w:rsidRPr="009D2CEC">
        <w:rPr>
          <w:rFonts w:cs="Times New Roman"/>
        </w:rPr>
        <w:t xml:space="preserve">Experts are the people who delve deeply into the work and want to continually learn more. They will devote time to improving materials, researching ideas, and connecting with other implementers.  </w:t>
      </w:r>
    </w:p>
    <w:p w14:paraId="7AD96C18" w14:textId="61F5BC0F" w:rsidR="0077333D" w:rsidRPr="009D2CEC" w:rsidRDefault="0077333D" w:rsidP="0077333D">
      <w:pPr>
        <w:spacing w:before="200"/>
        <w:rPr>
          <w:rFonts w:cs="Times New Roman"/>
        </w:rPr>
      </w:pPr>
      <w:r w:rsidRPr="009D2CEC">
        <w:rPr>
          <w:rFonts w:cs="Times New Roman"/>
        </w:rPr>
        <w:t xml:space="preserve">Some people are both champions and experts while others are most comfortable in one role or another. You likely have both at your college. </w:t>
      </w:r>
      <w:r w:rsidR="0059742B">
        <w:rPr>
          <w:rFonts w:cs="Times New Roman"/>
        </w:rPr>
        <w:t>This tool will help y</w:t>
      </w:r>
      <w:r w:rsidRPr="009D2CEC">
        <w:rPr>
          <w:rFonts w:cs="Times New Roman"/>
        </w:rPr>
        <w:t xml:space="preserve">ou continue to support </w:t>
      </w:r>
      <w:r w:rsidR="0059742B">
        <w:rPr>
          <w:rFonts w:cs="Times New Roman"/>
        </w:rPr>
        <w:t>these individuals</w:t>
      </w:r>
      <w:r w:rsidR="0059742B" w:rsidRPr="009D2CEC">
        <w:rPr>
          <w:rFonts w:cs="Times New Roman"/>
        </w:rPr>
        <w:t xml:space="preserve"> </w:t>
      </w:r>
      <w:r w:rsidRPr="009D2CEC">
        <w:rPr>
          <w:rFonts w:cs="Times New Roman"/>
        </w:rPr>
        <w:t xml:space="preserve">and also </w:t>
      </w:r>
      <w:r w:rsidR="0059742B">
        <w:rPr>
          <w:rFonts w:cs="Times New Roman"/>
        </w:rPr>
        <w:t xml:space="preserve">help you </w:t>
      </w:r>
      <w:r w:rsidRPr="009D2CEC">
        <w:rPr>
          <w:rFonts w:cs="Times New Roman"/>
        </w:rPr>
        <w:t xml:space="preserve">strategically create opportunities for new champions and experts to emerge. </w:t>
      </w:r>
    </w:p>
    <w:p w14:paraId="6CF6F24D" w14:textId="77777777" w:rsidR="0059742B" w:rsidRDefault="0059742B" w:rsidP="0077333D">
      <w:pPr>
        <w:spacing w:before="200"/>
        <w:rPr>
          <w:rFonts w:cs="Times New Roman"/>
          <w:b/>
        </w:rPr>
      </w:pPr>
    </w:p>
    <w:p w14:paraId="72DD6334" w14:textId="77777777" w:rsidR="0077333D" w:rsidRPr="009D2CEC" w:rsidRDefault="0077333D" w:rsidP="0077333D">
      <w:pPr>
        <w:spacing w:before="200"/>
        <w:rPr>
          <w:rFonts w:cs="Times New Roman"/>
        </w:rPr>
      </w:pPr>
      <w:r w:rsidRPr="009D2CEC">
        <w:rPr>
          <w:rFonts w:cs="Times New Roman"/>
          <w:b/>
        </w:rPr>
        <w:t>Instructions:</w:t>
      </w:r>
      <w:r w:rsidRPr="009D2CEC">
        <w:rPr>
          <w:rFonts w:cs="Times New Roman"/>
        </w:rPr>
        <w:t xml:space="preserve"> Discuss the prompts below with a small group.</w:t>
      </w:r>
    </w:p>
    <w:p w14:paraId="3233A925" w14:textId="67E8362F" w:rsidR="0077333D" w:rsidRPr="009D2CEC" w:rsidRDefault="0077333D" w:rsidP="0077333D">
      <w:pPr>
        <w:pStyle w:val="ListParagraph"/>
        <w:numPr>
          <w:ilvl w:val="0"/>
          <w:numId w:val="7"/>
        </w:numPr>
        <w:spacing w:before="200"/>
        <w:ind w:left="360"/>
        <w:rPr>
          <w:rFonts w:cs="Times New Roman"/>
        </w:rPr>
      </w:pPr>
      <w:r w:rsidRPr="009D2CEC">
        <w:rPr>
          <w:rFonts w:cs="Times New Roman"/>
          <w:u w:val="single"/>
        </w:rPr>
        <w:t>Identify possible activities</w:t>
      </w:r>
      <w:r w:rsidRPr="009D2CEC">
        <w:rPr>
          <w:rFonts w:cs="Times New Roman"/>
        </w:rPr>
        <w:t xml:space="preserve">. A list of activities that might help engage potential champions and experts is provided on the next page. A list of </w:t>
      </w:r>
      <w:r w:rsidR="00CF7E8A">
        <w:rPr>
          <w:rFonts w:cs="Times New Roman"/>
        </w:rPr>
        <w:t>activities offered through the DC</w:t>
      </w:r>
      <w:r w:rsidRPr="009D2CEC">
        <w:rPr>
          <w:rFonts w:cs="Times New Roman"/>
        </w:rPr>
        <w:t xml:space="preserve">MP and the Dana Center is also included.  </w:t>
      </w:r>
    </w:p>
    <w:p w14:paraId="02ECC68A" w14:textId="77777777" w:rsidR="0077333D" w:rsidRPr="009D2CEC" w:rsidRDefault="0077333D" w:rsidP="0077333D">
      <w:pPr>
        <w:pStyle w:val="ListParagraph"/>
        <w:numPr>
          <w:ilvl w:val="0"/>
          <w:numId w:val="16"/>
        </w:numPr>
        <w:spacing w:before="80"/>
        <w:ind w:left="1080"/>
        <w:contextualSpacing w:val="0"/>
        <w:rPr>
          <w:rFonts w:cs="Times New Roman"/>
        </w:rPr>
      </w:pPr>
      <w:r w:rsidRPr="009D2CEC">
        <w:rPr>
          <w:rFonts w:cs="Times New Roman"/>
        </w:rPr>
        <w:t>Review the list and add your own ideas.</w:t>
      </w:r>
    </w:p>
    <w:p w14:paraId="5089444B" w14:textId="77777777" w:rsidR="0077333D" w:rsidRPr="009D2CEC" w:rsidRDefault="0077333D" w:rsidP="0077333D">
      <w:pPr>
        <w:pStyle w:val="ListParagraph"/>
        <w:numPr>
          <w:ilvl w:val="0"/>
          <w:numId w:val="16"/>
        </w:numPr>
        <w:spacing w:before="80"/>
        <w:ind w:left="1080"/>
        <w:contextualSpacing w:val="0"/>
        <w:rPr>
          <w:rFonts w:cs="Times New Roman"/>
        </w:rPr>
      </w:pPr>
      <w:r w:rsidRPr="009D2CEC">
        <w:rPr>
          <w:rFonts w:cs="Times New Roman"/>
        </w:rPr>
        <w:t>Draw asterisks by items that you think are most effective and could help fill other needs in the project.</w:t>
      </w:r>
    </w:p>
    <w:p w14:paraId="3D0DD8E0" w14:textId="77777777" w:rsidR="0077333D" w:rsidRPr="000C4843" w:rsidRDefault="0077333D" w:rsidP="0077333D">
      <w:pPr>
        <w:spacing w:before="200"/>
        <w:rPr>
          <w:rFonts w:cs="Times New Roman"/>
          <w:sz w:val="22"/>
          <w:szCs w:val="22"/>
        </w:rPr>
      </w:pPr>
    </w:p>
    <w:p w14:paraId="5745DBDF" w14:textId="77777777" w:rsidR="0077333D" w:rsidRDefault="0077333D" w:rsidP="0077333D">
      <w:pPr>
        <w:rPr>
          <w:rFonts w:cs="Times New Roman"/>
        </w:rPr>
      </w:pPr>
      <w:r>
        <w:rPr>
          <w:rFonts w:cs="Times New Roman"/>
        </w:rPr>
        <w:br w:type="page"/>
      </w:r>
    </w:p>
    <w:tbl>
      <w:tblPr>
        <w:tblStyle w:val="TableGrid"/>
        <w:tblW w:w="0" w:type="auto"/>
        <w:tblLook w:val="04A0" w:firstRow="1" w:lastRow="0" w:firstColumn="1" w:lastColumn="0" w:noHBand="0" w:noVBand="1"/>
      </w:tblPr>
      <w:tblGrid>
        <w:gridCol w:w="4789"/>
        <w:gridCol w:w="4787"/>
      </w:tblGrid>
      <w:tr w:rsidR="0077333D" w:rsidRPr="007F78F2" w14:paraId="568804C5" w14:textId="77777777" w:rsidTr="0077333D">
        <w:tc>
          <w:tcPr>
            <w:tcW w:w="9720" w:type="dxa"/>
            <w:gridSpan w:val="2"/>
            <w:tcBorders>
              <w:bottom w:val="single" w:sz="4" w:space="0" w:color="auto"/>
            </w:tcBorders>
            <w:shd w:val="clear" w:color="auto" w:fill="808080" w:themeFill="background1" w:themeFillShade="80"/>
          </w:tcPr>
          <w:p w14:paraId="2E10D354"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Activities to Engage Champions and Experts</w:t>
            </w:r>
          </w:p>
        </w:tc>
      </w:tr>
      <w:tr w:rsidR="0077333D" w:rsidRPr="007F78F2" w14:paraId="2B281618" w14:textId="77777777" w:rsidTr="00E250A8">
        <w:tc>
          <w:tcPr>
            <w:tcW w:w="4860" w:type="dxa"/>
            <w:shd w:val="clear" w:color="auto" w:fill="E6E6E6"/>
          </w:tcPr>
          <w:p w14:paraId="3B2BEFCE" w14:textId="77777777" w:rsidR="0077333D" w:rsidRPr="009D2CEC" w:rsidRDefault="0077333D" w:rsidP="00552193">
            <w:pPr>
              <w:pStyle w:val="NoSpacing"/>
              <w:spacing w:before="80" w:after="80"/>
              <w:rPr>
                <w:rFonts w:ascii="Century Gothic" w:hAnsi="Century Gothic"/>
                <w:b/>
              </w:rPr>
            </w:pPr>
            <w:r w:rsidRPr="009D2CEC">
              <w:rPr>
                <w:rFonts w:ascii="Century Gothic" w:hAnsi="Century Gothic"/>
                <w:b/>
              </w:rPr>
              <w:t>Champions may want to . . .</w:t>
            </w:r>
          </w:p>
        </w:tc>
        <w:tc>
          <w:tcPr>
            <w:tcW w:w="4860" w:type="dxa"/>
            <w:shd w:val="clear" w:color="auto" w:fill="E6E6E6"/>
          </w:tcPr>
          <w:p w14:paraId="1F9B7D71" w14:textId="77777777" w:rsidR="0077333D" w:rsidRPr="009D2CEC" w:rsidRDefault="0077333D" w:rsidP="00552193">
            <w:pPr>
              <w:pStyle w:val="NoSpacing"/>
              <w:spacing w:before="80" w:after="80"/>
              <w:rPr>
                <w:rFonts w:ascii="Century Gothic" w:hAnsi="Century Gothic"/>
                <w:b/>
              </w:rPr>
            </w:pPr>
            <w:r w:rsidRPr="009D2CEC">
              <w:rPr>
                <w:rFonts w:ascii="Century Gothic" w:hAnsi="Century Gothic"/>
                <w:b/>
              </w:rPr>
              <w:t>Experts may want to . . .</w:t>
            </w:r>
          </w:p>
        </w:tc>
      </w:tr>
      <w:tr w:rsidR="0077333D" w14:paraId="4BB8B350" w14:textId="77777777" w:rsidTr="00E250A8">
        <w:tc>
          <w:tcPr>
            <w:tcW w:w="4860" w:type="dxa"/>
            <w:tcBorders>
              <w:bottom w:val="single" w:sz="4" w:space="0" w:color="auto"/>
            </w:tcBorders>
          </w:tcPr>
          <w:p w14:paraId="3BE4597B" w14:textId="77777777" w:rsidR="0077333D" w:rsidRPr="009D2CEC" w:rsidRDefault="0077333D" w:rsidP="0077333D">
            <w:pPr>
              <w:pStyle w:val="NoSpacing"/>
              <w:numPr>
                <w:ilvl w:val="0"/>
                <w:numId w:val="9"/>
              </w:numPr>
              <w:spacing w:before="120" w:after="80"/>
            </w:pPr>
            <w:r w:rsidRPr="009D2CEC">
              <w:t>Present to internal and external groups.</w:t>
            </w:r>
          </w:p>
          <w:p w14:paraId="42499774" w14:textId="77777777" w:rsidR="0077333D" w:rsidRPr="009D2CEC" w:rsidRDefault="0077333D" w:rsidP="0077333D">
            <w:pPr>
              <w:pStyle w:val="NoSpacing"/>
              <w:numPr>
                <w:ilvl w:val="0"/>
                <w:numId w:val="9"/>
              </w:numPr>
              <w:spacing w:before="120" w:after="80"/>
            </w:pPr>
            <w:r w:rsidRPr="009D2CEC">
              <w:t>Serve as a mentor or trainer.</w:t>
            </w:r>
          </w:p>
          <w:p w14:paraId="1C4419D4" w14:textId="77777777" w:rsidR="0077333D" w:rsidRPr="009D2CEC" w:rsidRDefault="0077333D" w:rsidP="0077333D">
            <w:pPr>
              <w:pStyle w:val="NoSpacing"/>
              <w:numPr>
                <w:ilvl w:val="0"/>
                <w:numId w:val="9"/>
              </w:numPr>
              <w:spacing w:before="120" w:after="80"/>
            </w:pPr>
            <w:r w:rsidRPr="009D2CEC">
              <w:t>Give demonstration lessons.</w:t>
            </w:r>
          </w:p>
          <w:p w14:paraId="7B9FA7F0" w14:textId="77777777" w:rsidR="0077333D" w:rsidRPr="009D2CEC" w:rsidRDefault="0077333D" w:rsidP="0077333D">
            <w:pPr>
              <w:pStyle w:val="NoSpacing"/>
              <w:numPr>
                <w:ilvl w:val="0"/>
                <w:numId w:val="9"/>
              </w:numPr>
              <w:spacing w:before="120" w:after="80"/>
            </w:pPr>
            <w:r w:rsidRPr="009D2CEC">
              <w:t>Write articles.</w:t>
            </w:r>
          </w:p>
          <w:p w14:paraId="36FA9ECB" w14:textId="77777777" w:rsidR="0077333D" w:rsidRPr="009D2CEC" w:rsidRDefault="0077333D" w:rsidP="0077333D">
            <w:pPr>
              <w:pStyle w:val="NoSpacing"/>
              <w:numPr>
                <w:ilvl w:val="0"/>
                <w:numId w:val="9"/>
              </w:numPr>
              <w:spacing w:before="120" w:after="80"/>
            </w:pPr>
            <w:r w:rsidRPr="009D2CEC">
              <w:t>Invite others to observe their classes.</w:t>
            </w:r>
          </w:p>
          <w:p w14:paraId="47AAAE48" w14:textId="77777777" w:rsidR="0077333D" w:rsidRPr="009D2CEC" w:rsidRDefault="0077333D" w:rsidP="0077333D">
            <w:pPr>
              <w:pStyle w:val="NoSpacing"/>
              <w:numPr>
                <w:ilvl w:val="0"/>
                <w:numId w:val="9"/>
              </w:numPr>
              <w:spacing w:before="120" w:after="120"/>
            </w:pPr>
            <w:r w:rsidRPr="009D2CEC">
              <w:t>Lead discussion groups.</w:t>
            </w:r>
          </w:p>
        </w:tc>
        <w:tc>
          <w:tcPr>
            <w:tcW w:w="4860" w:type="dxa"/>
            <w:tcBorders>
              <w:bottom w:val="single" w:sz="4" w:space="0" w:color="auto"/>
            </w:tcBorders>
          </w:tcPr>
          <w:p w14:paraId="79ECE681" w14:textId="77777777" w:rsidR="0077333D" w:rsidRPr="009D2CEC" w:rsidRDefault="0077333D" w:rsidP="0077333D">
            <w:pPr>
              <w:pStyle w:val="NoSpacing"/>
              <w:numPr>
                <w:ilvl w:val="0"/>
                <w:numId w:val="9"/>
              </w:numPr>
              <w:spacing w:before="120" w:after="80"/>
              <w:rPr>
                <w:rFonts w:cs="Times New Roman"/>
              </w:rPr>
            </w:pPr>
            <w:r w:rsidRPr="009D2CEC">
              <w:rPr>
                <w:rFonts w:cs="Times New Roman"/>
              </w:rPr>
              <w:t>Research a topic.</w:t>
            </w:r>
          </w:p>
          <w:p w14:paraId="1053E7B7" w14:textId="77777777" w:rsidR="0077333D" w:rsidRPr="009D2CEC" w:rsidRDefault="0077333D" w:rsidP="0077333D">
            <w:pPr>
              <w:pStyle w:val="NoSpacing"/>
              <w:numPr>
                <w:ilvl w:val="0"/>
                <w:numId w:val="9"/>
              </w:numPr>
              <w:spacing w:before="120" w:after="80"/>
              <w:rPr>
                <w:rFonts w:cs="Times New Roman"/>
              </w:rPr>
            </w:pPr>
            <w:r w:rsidRPr="009D2CEC">
              <w:rPr>
                <w:rFonts w:cs="Times New Roman"/>
              </w:rPr>
              <w:t>Develop or revise materials.</w:t>
            </w:r>
          </w:p>
          <w:p w14:paraId="7DED0CE7" w14:textId="77777777" w:rsidR="0077333D" w:rsidRPr="009D2CEC" w:rsidRDefault="0077333D" w:rsidP="0077333D">
            <w:pPr>
              <w:pStyle w:val="NoSpacing"/>
              <w:numPr>
                <w:ilvl w:val="0"/>
                <w:numId w:val="9"/>
              </w:numPr>
              <w:spacing w:before="120" w:after="80"/>
              <w:rPr>
                <w:rFonts w:cs="Times New Roman"/>
              </w:rPr>
            </w:pPr>
            <w:r w:rsidRPr="009D2CEC">
              <w:rPr>
                <w:rFonts w:cs="Times New Roman"/>
              </w:rPr>
              <w:t>Serve as a mentor.</w:t>
            </w:r>
          </w:p>
          <w:p w14:paraId="0A14E751" w14:textId="77777777" w:rsidR="0077333D" w:rsidRPr="009D2CEC" w:rsidRDefault="0077333D" w:rsidP="0077333D">
            <w:pPr>
              <w:pStyle w:val="NoSpacing"/>
              <w:numPr>
                <w:ilvl w:val="0"/>
                <w:numId w:val="9"/>
              </w:numPr>
              <w:spacing w:before="120" w:after="80"/>
              <w:rPr>
                <w:rFonts w:cs="Times New Roman"/>
              </w:rPr>
            </w:pPr>
            <w:r w:rsidRPr="009D2CEC">
              <w:rPr>
                <w:rFonts w:cs="Times New Roman"/>
              </w:rPr>
              <w:t>Write articles.</w:t>
            </w:r>
          </w:p>
          <w:p w14:paraId="5EFAC965" w14:textId="77777777" w:rsidR="0077333D" w:rsidRPr="009D2CEC" w:rsidRDefault="0077333D" w:rsidP="0077333D">
            <w:pPr>
              <w:pStyle w:val="NoSpacing"/>
              <w:numPr>
                <w:ilvl w:val="0"/>
                <w:numId w:val="9"/>
              </w:numPr>
              <w:spacing w:before="120" w:after="80"/>
              <w:rPr>
                <w:rFonts w:cs="Times New Roman"/>
              </w:rPr>
            </w:pPr>
            <w:r w:rsidRPr="009D2CEC">
              <w:rPr>
                <w:rFonts w:cs="Times New Roman"/>
              </w:rPr>
              <w:t>Network with other practitioners.</w:t>
            </w:r>
          </w:p>
          <w:p w14:paraId="560CFFA8" w14:textId="77777777" w:rsidR="0077333D" w:rsidRPr="009D2CEC" w:rsidRDefault="0077333D" w:rsidP="0077333D">
            <w:pPr>
              <w:pStyle w:val="NoSpacing"/>
              <w:numPr>
                <w:ilvl w:val="0"/>
                <w:numId w:val="9"/>
              </w:numPr>
              <w:spacing w:before="120" w:after="120"/>
              <w:rPr>
                <w:rFonts w:cs="Times New Roman"/>
              </w:rPr>
            </w:pPr>
            <w:r w:rsidRPr="009D2CEC">
              <w:rPr>
                <w:rFonts w:cs="Times New Roman"/>
              </w:rPr>
              <w:t>Attend learning opportunities.</w:t>
            </w:r>
          </w:p>
        </w:tc>
      </w:tr>
      <w:tr w:rsidR="0077333D" w:rsidRPr="007F78F2" w14:paraId="7E44AE2F" w14:textId="77777777" w:rsidTr="0077333D">
        <w:tc>
          <w:tcPr>
            <w:tcW w:w="9720" w:type="dxa"/>
            <w:gridSpan w:val="2"/>
            <w:shd w:val="clear" w:color="auto" w:fill="808080" w:themeFill="background1" w:themeFillShade="80"/>
          </w:tcPr>
          <w:p w14:paraId="07C3D164" w14:textId="4BC718D7" w:rsidR="0077333D" w:rsidRPr="00144E7D" w:rsidRDefault="00CF7E8A"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DC</w:t>
            </w:r>
            <w:r w:rsidR="0077333D" w:rsidRPr="00144E7D">
              <w:rPr>
                <w:rFonts w:ascii="Century Gothic" w:hAnsi="Century Gothic"/>
                <w:b/>
                <w:bCs/>
                <w:color w:val="FFFFFF" w:themeColor="background1"/>
              </w:rPr>
              <w:t>MP/Dana Center Opportunities for Champions and Experts</w:t>
            </w:r>
          </w:p>
        </w:tc>
      </w:tr>
      <w:tr w:rsidR="0077333D" w:rsidRPr="000C4843" w14:paraId="54127CFF" w14:textId="77777777" w:rsidTr="00E250A8">
        <w:tc>
          <w:tcPr>
            <w:tcW w:w="9720" w:type="dxa"/>
            <w:gridSpan w:val="2"/>
            <w:tcBorders>
              <w:bottom w:val="single" w:sz="4" w:space="0" w:color="auto"/>
            </w:tcBorders>
          </w:tcPr>
          <w:p w14:paraId="14F9B767" w14:textId="77777777" w:rsidR="0077333D" w:rsidRPr="009D2CEC" w:rsidRDefault="0077333D" w:rsidP="0077333D">
            <w:pPr>
              <w:pStyle w:val="NoSpacing"/>
              <w:numPr>
                <w:ilvl w:val="0"/>
                <w:numId w:val="10"/>
              </w:numPr>
              <w:spacing w:before="120"/>
              <w:rPr>
                <w:rFonts w:cs="Times New Roman"/>
              </w:rPr>
            </w:pPr>
            <w:r w:rsidRPr="009D2CEC">
              <w:rPr>
                <w:rFonts w:cs="Times New Roman"/>
              </w:rPr>
              <w:t>Curriculum development – The Dana Center accepts applications for authors and reviewers when starting development of a new curriculum.</w:t>
            </w:r>
          </w:p>
          <w:p w14:paraId="4AFDAA68" w14:textId="77777777" w:rsidR="0077333D" w:rsidRPr="009D2CEC" w:rsidRDefault="0077333D" w:rsidP="0077333D">
            <w:pPr>
              <w:pStyle w:val="NoSpacing"/>
              <w:numPr>
                <w:ilvl w:val="0"/>
                <w:numId w:val="10"/>
              </w:numPr>
              <w:spacing w:before="120"/>
              <w:rPr>
                <w:rFonts w:cs="Times New Roman"/>
              </w:rPr>
            </w:pPr>
            <w:r w:rsidRPr="009D2CEC">
              <w:rPr>
                <w:rFonts w:cs="Times New Roman"/>
              </w:rPr>
              <w:t xml:space="preserve">Faculty training/mentorship </w:t>
            </w:r>
          </w:p>
          <w:p w14:paraId="007F3645" w14:textId="77777777" w:rsidR="0077333D" w:rsidRPr="009D2CEC" w:rsidRDefault="0077333D" w:rsidP="0077333D">
            <w:pPr>
              <w:pStyle w:val="NoSpacing"/>
              <w:numPr>
                <w:ilvl w:val="1"/>
                <w:numId w:val="6"/>
              </w:numPr>
              <w:spacing w:before="40"/>
              <w:rPr>
                <w:rFonts w:cs="Times New Roman"/>
              </w:rPr>
            </w:pPr>
            <w:r w:rsidRPr="009D2CEC">
              <w:rPr>
                <w:rFonts w:cs="Times New Roman"/>
              </w:rPr>
              <w:t>Informally: Faculty are encouraged to participate in the online discussion forums and to share ideas and materials with one another.</w:t>
            </w:r>
          </w:p>
          <w:p w14:paraId="2B51AA6B" w14:textId="77777777" w:rsidR="0077333D" w:rsidRPr="009D2CEC" w:rsidRDefault="0077333D" w:rsidP="0077333D">
            <w:pPr>
              <w:pStyle w:val="NoSpacing"/>
              <w:numPr>
                <w:ilvl w:val="1"/>
                <w:numId w:val="6"/>
              </w:numPr>
              <w:spacing w:before="40"/>
              <w:rPr>
                <w:rFonts w:cs="Times New Roman"/>
              </w:rPr>
            </w:pPr>
            <w:r w:rsidRPr="009D2CEC">
              <w:rPr>
                <w:rFonts w:cs="Times New Roman"/>
              </w:rPr>
              <w:t>As a trainer/mentor: The Dana Center often invites veteran faculty to help train new faculty and asks veterans to address individual questions and concerns from new faculty.</w:t>
            </w:r>
          </w:p>
          <w:p w14:paraId="77038AEF" w14:textId="77777777" w:rsidR="0077333D" w:rsidRPr="009D2CEC" w:rsidRDefault="0077333D" w:rsidP="0077333D">
            <w:pPr>
              <w:pStyle w:val="NoSpacing"/>
              <w:numPr>
                <w:ilvl w:val="1"/>
                <w:numId w:val="6"/>
              </w:numPr>
              <w:spacing w:before="40"/>
              <w:rPr>
                <w:rFonts w:cs="Times New Roman"/>
              </w:rPr>
            </w:pPr>
            <w:r w:rsidRPr="009D2CEC">
              <w:rPr>
                <w:rFonts w:cs="Times New Roman"/>
              </w:rPr>
              <w:t>As a participant: The Dana Center offers different types of learning opportunities.</w:t>
            </w:r>
          </w:p>
          <w:p w14:paraId="5DF5E3C7" w14:textId="64695389" w:rsidR="0077333D" w:rsidRPr="009D2CEC" w:rsidRDefault="0077333D" w:rsidP="0077333D">
            <w:pPr>
              <w:pStyle w:val="NoSpacing"/>
              <w:numPr>
                <w:ilvl w:val="0"/>
                <w:numId w:val="11"/>
              </w:numPr>
              <w:spacing w:before="120"/>
              <w:rPr>
                <w:rFonts w:cs="Times New Roman"/>
              </w:rPr>
            </w:pPr>
            <w:r w:rsidRPr="009D2CEC">
              <w:rPr>
                <w:rFonts w:cs="Times New Roman"/>
              </w:rPr>
              <w:t xml:space="preserve">Conferences – The Dana Center encourages faculty to submit proposals to present about their experiences with the </w:t>
            </w:r>
            <w:r w:rsidR="00CF7E8A">
              <w:rPr>
                <w:rFonts w:cs="Times New Roman"/>
              </w:rPr>
              <w:t>DCMP</w:t>
            </w:r>
            <w:r w:rsidRPr="009D2CEC">
              <w:rPr>
                <w:rFonts w:cs="Times New Roman"/>
              </w:rPr>
              <w:t xml:space="preserve">. The Dana Center will help provide </w:t>
            </w:r>
            <w:r w:rsidR="00CF7E8A">
              <w:rPr>
                <w:rFonts w:cs="Times New Roman"/>
              </w:rPr>
              <w:t>DCMP</w:t>
            </w:r>
            <w:r w:rsidRPr="009D2CEC">
              <w:rPr>
                <w:rFonts w:cs="Times New Roman"/>
              </w:rPr>
              <w:t xml:space="preserve"> materials and, in some cases, can help defray expenses.</w:t>
            </w:r>
          </w:p>
          <w:p w14:paraId="3D302F92" w14:textId="77777777" w:rsidR="0077333D" w:rsidRPr="009D2CEC" w:rsidRDefault="0077333D" w:rsidP="0077333D">
            <w:pPr>
              <w:pStyle w:val="NoSpacing"/>
              <w:numPr>
                <w:ilvl w:val="0"/>
                <w:numId w:val="11"/>
              </w:numPr>
              <w:spacing w:before="120"/>
              <w:rPr>
                <w:rFonts w:cs="Times New Roman"/>
              </w:rPr>
            </w:pPr>
            <w:r w:rsidRPr="009D2CEC">
              <w:rPr>
                <w:rFonts w:cs="Times New Roman"/>
              </w:rPr>
              <w:t xml:space="preserve">Focus/working groups – The Dana Center occasionally convenes groups to give input on a particular topic or to help develop a strategy to address an issue. </w:t>
            </w:r>
          </w:p>
          <w:p w14:paraId="7C9DCB8D" w14:textId="77777777" w:rsidR="0077333D" w:rsidRPr="009D2CEC" w:rsidRDefault="0077333D" w:rsidP="00E250A8">
            <w:pPr>
              <w:pStyle w:val="NoSpacing"/>
              <w:rPr>
                <w:rFonts w:cs="Times New Roman"/>
              </w:rPr>
            </w:pPr>
          </w:p>
          <w:p w14:paraId="4C96E66B" w14:textId="77777777" w:rsidR="0077333D" w:rsidRPr="000C4843" w:rsidRDefault="0077333D" w:rsidP="00E250A8">
            <w:pPr>
              <w:pStyle w:val="NoSpacing"/>
              <w:spacing w:after="120"/>
              <w:rPr>
                <w:rFonts w:cs="Times New Roman"/>
                <w:b/>
                <w:i/>
                <w:sz w:val="22"/>
                <w:szCs w:val="22"/>
              </w:rPr>
            </w:pPr>
            <w:r w:rsidRPr="009D2CEC">
              <w:rPr>
                <w:rFonts w:cs="Times New Roman"/>
                <w:b/>
                <w:i/>
              </w:rPr>
              <w:t>Are your faculty informed about these types of opportunities? Announcements typically are sent to the liaisons your college has identified or through the Dana Center email list.</w:t>
            </w:r>
          </w:p>
        </w:tc>
      </w:tr>
      <w:tr w:rsidR="0077333D" w14:paraId="406B3FD7" w14:textId="77777777" w:rsidTr="0077333D">
        <w:trPr>
          <w:trHeight w:val="260"/>
        </w:trPr>
        <w:tc>
          <w:tcPr>
            <w:tcW w:w="9720" w:type="dxa"/>
            <w:gridSpan w:val="2"/>
            <w:shd w:val="clear" w:color="auto" w:fill="808080" w:themeFill="background1" w:themeFillShade="80"/>
          </w:tcPr>
          <w:p w14:paraId="64523294" w14:textId="77777777" w:rsidR="0077333D" w:rsidRPr="00144E7D" w:rsidRDefault="0077333D" w:rsidP="00144E7D">
            <w:pPr>
              <w:pStyle w:val="NoSpacing"/>
              <w:spacing w:before="120" w:after="120"/>
              <w:jc w:val="center"/>
              <w:rPr>
                <w:rFonts w:cs="Times New Roman"/>
                <w:b/>
              </w:rPr>
            </w:pPr>
            <w:r w:rsidRPr="00144E7D">
              <w:rPr>
                <w:rFonts w:ascii="Century Gothic" w:hAnsi="Century Gothic"/>
                <w:b/>
                <w:bCs/>
                <w:color w:val="FFFFFF" w:themeColor="background1"/>
              </w:rPr>
              <w:t>Additional Ideas</w:t>
            </w:r>
          </w:p>
        </w:tc>
      </w:tr>
      <w:tr w:rsidR="0077333D" w14:paraId="4E7E76B6" w14:textId="77777777" w:rsidTr="00E250A8">
        <w:tc>
          <w:tcPr>
            <w:tcW w:w="9720" w:type="dxa"/>
            <w:gridSpan w:val="2"/>
          </w:tcPr>
          <w:p w14:paraId="6D7D0068" w14:textId="77777777" w:rsidR="0077333D" w:rsidRDefault="0077333D" w:rsidP="00E250A8">
            <w:pPr>
              <w:pStyle w:val="NoSpacing"/>
              <w:ind w:left="360"/>
              <w:rPr>
                <w:rFonts w:cs="Times New Roman"/>
              </w:rPr>
            </w:pPr>
          </w:p>
          <w:p w14:paraId="6F8585CC" w14:textId="77777777" w:rsidR="0077333D" w:rsidRDefault="0077333D" w:rsidP="00E250A8">
            <w:pPr>
              <w:pStyle w:val="NoSpacing"/>
              <w:ind w:left="360"/>
              <w:rPr>
                <w:rFonts w:cs="Times New Roman"/>
              </w:rPr>
            </w:pPr>
          </w:p>
          <w:p w14:paraId="706AD23A" w14:textId="77777777" w:rsidR="0077333D" w:rsidRDefault="0077333D" w:rsidP="00E250A8">
            <w:pPr>
              <w:pStyle w:val="NoSpacing"/>
              <w:ind w:left="360"/>
              <w:rPr>
                <w:rFonts w:cs="Times New Roman"/>
              </w:rPr>
            </w:pPr>
          </w:p>
          <w:p w14:paraId="758FA78F" w14:textId="57C204AF" w:rsidR="0077333D" w:rsidRDefault="0077333D" w:rsidP="00552193">
            <w:pPr>
              <w:pStyle w:val="NoSpacing"/>
              <w:rPr>
                <w:rFonts w:cs="Times New Roman"/>
              </w:rPr>
            </w:pPr>
          </w:p>
          <w:p w14:paraId="231C07B2" w14:textId="77777777" w:rsidR="0077333D" w:rsidRDefault="0077333D" w:rsidP="00E250A8">
            <w:pPr>
              <w:pStyle w:val="NoSpacing"/>
              <w:ind w:left="360"/>
              <w:rPr>
                <w:rFonts w:cs="Times New Roman"/>
              </w:rPr>
            </w:pPr>
          </w:p>
          <w:p w14:paraId="055FFD20" w14:textId="77777777" w:rsidR="0077333D" w:rsidRDefault="0077333D" w:rsidP="00E250A8">
            <w:pPr>
              <w:pStyle w:val="NoSpacing"/>
              <w:ind w:left="360"/>
              <w:rPr>
                <w:rFonts w:cs="Times New Roman"/>
              </w:rPr>
            </w:pPr>
          </w:p>
        </w:tc>
      </w:tr>
    </w:tbl>
    <w:p w14:paraId="76F823F7" w14:textId="6B4036A0" w:rsidR="0077333D" w:rsidRPr="009D2CEC" w:rsidRDefault="0077333D" w:rsidP="00552193">
      <w:pPr>
        <w:spacing w:before="200"/>
        <w:rPr>
          <w:rFonts w:cs="Times New Roman"/>
        </w:rPr>
      </w:pPr>
      <w:r w:rsidRPr="00A53535">
        <w:rPr>
          <w:rFonts w:cs="Times New Roman"/>
        </w:rPr>
        <w:br w:type="page"/>
      </w:r>
      <w:r w:rsidRPr="009D2CEC">
        <w:rPr>
          <w:rFonts w:cs="Times New Roman"/>
          <w:u w:val="single"/>
        </w:rPr>
        <w:lastRenderedPageBreak/>
        <w:t>Plan for options for champions and experts</w:t>
      </w:r>
      <w:r w:rsidRPr="009D2CEC">
        <w:rPr>
          <w:rFonts w:cs="Times New Roman"/>
        </w:rPr>
        <w:t>. You may want to think about outreach in two ways: 1) targeted outreach to specific people; and 2) open opportunities that may encourage others to move into leadership roles.</w:t>
      </w:r>
    </w:p>
    <w:p w14:paraId="2888ABA6" w14:textId="77777777" w:rsidR="0077333D" w:rsidRPr="009D2CEC" w:rsidRDefault="0077333D" w:rsidP="0077333D">
      <w:pPr>
        <w:spacing w:before="200" w:after="160"/>
        <w:ind w:left="360"/>
        <w:rPr>
          <w:rFonts w:cs="Times New Roman"/>
          <w:b/>
        </w:rPr>
      </w:pPr>
      <w:r w:rsidRPr="009D2CEC">
        <w:rPr>
          <w:rFonts w:cs="Times New Roman"/>
          <w:b/>
        </w:rPr>
        <w:t xml:space="preserve">Targeted outreach: </w:t>
      </w:r>
    </w:p>
    <w:p w14:paraId="1E2DCEF5" w14:textId="77777777" w:rsidR="0077333D" w:rsidRPr="009D2CEC" w:rsidRDefault="0077333D" w:rsidP="0077333D">
      <w:pPr>
        <w:pStyle w:val="NoSpacing"/>
        <w:numPr>
          <w:ilvl w:val="0"/>
          <w:numId w:val="14"/>
        </w:numPr>
        <w:spacing w:after="120"/>
        <w:ind w:left="1080"/>
        <w:rPr>
          <w:rFonts w:ascii="Cambria" w:hAnsi="Cambria"/>
        </w:rPr>
      </w:pPr>
      <w:r w:rsidRPr="009D2CEC">
        <w:rPr>
          <w:rFonts w:ascii="Cambria" w:hAnsi="Cambria"/>
        </w:rPr>
        <w:t xml:space="preserve">Identify current and emerging champions and experts. </w:t>
      </w:r>
    </w:p>
    <w:p w14:paraId="5E6943B3" w14:textId="77777777" w:rsidR="0077333D" w:rsidRPr="009D2CEC" w:rsidRDefault="0077333D" w:rsidP="0077333D">
      <w:pPr>
        <w:pStyle w:val="NoSpacing"/>
        <w:numPr>
          <w:ilvl w:val="0"/>
          <w:numId w:val="14"/>
        </w:numPr>
        <w:spacing w:after="80"/>
        <w:ind w:left="1080"/>
        <w:rPr>
          <w:rFonts w:ascii="Cambria" w:hAnsi="Cambria"/>
        </w:rPr>
      </w:pPr>
      <w:r w:rsidRPr="009D2CEC">
        <w:rPr>
          <w:rFonts w:ascii="Cambria" w:hAnsi="Cambria"/>
        </w:rPr>
        <w:t xml:space="preserve">Identify activities that might engage these individuals. Refer back to Step 1 to review possible activities, especially those that would help fill existing needs.  </w:t>
      </w:r>
    </w:p>
    <w:p w14:paraId="07571ACC" w14:textId="2399A14B" w:rsidR="0077333D" w:rsidRPr="009D2CEC" w:rsidRDefault="0077333D" w:rsidP="0077333D">
      <w:pPr>
        <w:pStyle w:val="NoSpacing"/>
        <w:numPr>
          <w:ilvl w:val="1"/>
          <w:numId w:val="8"/>
        </w:numPr>
        <w:spacing w:before="80"/>
        <w:ind w:left="1800"/>
        <w:rPr>
          <w:rFonts w:ascii="Cambria" w:hAnsi="Cambria"/>
        </w:rPr>
      </w:pPr>
      <w:r w:rsidRPr="009D2CEC">
        <w:rPr>
          <w:rFonts w:ascii="Cambria" w:hAnsi="Cambria"/>
        </w:rPr>
        <w:t xml:space="preserve">Consider if your current champions and experts feel they have appropriate opportunities to contribute to the project or if they desire or </w:t>
      </w:r>
      <w:r w:rsidR="00CB0DA5">
        <w:rPr>
          <w:rFonts w:ascii="Cambria" w:hAnsi="Cambria"/>
        </w:rPr>
        <w:t xml:space="preserve">can </w:t>
      </w:r>
      <w:r w:rsidRPr="009D2CEC">
        <w:rPr>
          <w:rFonts w:ascii="Cambria" w:hAnsi="Cambria"/>
        </w:rPr>
        <w:t xml:space="preserve">benefit from new activities.  </w:t>
      </w:r>
    </w:p>
    <w:p w14:paraId="33ABC5BF" w14:textId="77777777" w:rsidR="0077333D" w:rsidRPr="009D2CEC" w:rsidRDefault="0077333D" w:rsidP="0077333D">
      <w:pPr>
        <w:pStyle w:val="NoSpacing"/>
        <w:numPr>
          <w:ilvl w:val="1"/>
          <w:numId w:val="8"/>
        </w:numPr>
        <w:spacing w:before="120" w:after="200"/>
        <w:ind w:left="1800"/>
        <w:rPr>
          <w:rFonts w:ascii="Cambria" w:hAnsi="Cambria"/>
        </w:rPr>
      </w:pPr>
      <w:r w:rsidRPr="009D2CEC">
        <w:rPr>
          <w:rFonts w:ascii="Cambria" w:hAnsi="Cambria"/>
        </w:rPr>
        <w:t>Consider if emerging leaders need interim supports. For example, before making a solo presentation, an emerging leader might be paired with a veteran to make a joint presentation.</w:t>
      </w:r>
    </w:p>
    <w:tbl>
      <w:tblPr>
        <w:tblStyle w:val="TableGrid"/>
        <w:tblW w:w="9828" w:type="dxa"/>
        <w:tblLayout w:type="fixed"/>
        <w:tblLook w:val="04A0" w:firstRow="1" w:lastRow="0" w:firstColumn="1" w:lastColumn="0" w:noHBand="0" w:noVBand="1"/>
      </w:tblPr>
      <w:tblGrid>
        <w:gridCol w:w="3168"/>
        <w:gridCol w:w="1710"/>
        <w:gridCol w:w="1080"/>
        <w:gridCol w:w="3870"/>
      </w:tblGrid>
      <w:tr w:rsidR="0077333D" w:rsidRPr="00A53535" w14:paraId="1F9D5810" w14:textId="77777777" w:rsidTr="0077333D">
        <w:tc>
          <w:tcPr>
            <w:tcW w:w="3168" w:type="dxa"/>
            <w:tcBorders>
              <w:bottom w:val="single" w:sz="4" w:space="0" w:color="auto"/>
            </w:tcBorders>
            <w:shd w:val="clear" w:color="auto" w:fill="808080" w:themeFill="background1" w:themeFillShade="80"/>
          </w:tcPr>
          <w:p w14:paraId="5FCE0EB8"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Name</w:t>
            </w:r>
          </w:p>
        </w:tc>
        <w:tc>
          <w:tcPr>
            <w:tcW w:w="1710" w:type="dxa"/>
            <w:tcBorders>
              <w:bottom w:val="single" w:sz="4" w:space="0" w:color="auto"/>
            </w:tcBorders>
            <w:shd w:val="clear" w:color="auto" w:fill="808080" w:themeFill="background1" w:themeFillShade="80"/>
          </w:tcPr>
          <w:p w14:paraId="7F179CFB"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Champion</w:t>
            </w:r>
          </w:p>
        </w:tc>
        <w:tc>
          <w:tcPr>
            <w:tcW w:w="1080" w:type="dxa"/>
            <w:tcBorders>
              <w:bottom w:val="single" w:sz="4" w:space="0" w:color="auto"/>
            </w:tcBorders>
            <w:shd w:val="clear" w:color="auto" w:fill="808080" w:themeFill="background1" w:themeFillShade="80"/>
          </w:tcPr>
          <w:p w14:paraId="47EE37DA"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Expert</w:t>
            </w:r>
          </w:p>
        </w:tc>
        <w:tc>
          <w:tcPr>
            <w:tcW w:w="3870" w:type="dxa"/>
            <w:tcBorders>
              <w:bottom w:val="single" w:sz="4" w:space="0" w:color="auto"/>
            </w:tcBorders>
            <w:shd w:val="clear" w:color="auto" w:fill="808080" w:themeFill="background1" w:themeFillShade="80"/>
          </w:tcPr>
          <w:p w14:paraId="18E18AFA"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 xml:space="preserve">Possible Activities </w:t>
            </w:r>
          </w:p>
        </w:tc>
      </w:tr>
      <w:tr w:rsidR="0077333D" w14:paraId="538C8161" w14:textId="77777777" w:rsidTr="00E250A8">
        <w:tc>
          <w:tcPr>
            <w:tcW w:w="9828" w:type="dxa"/>
            <w:gridSpan w:val="4"/>
            <w:shd w:val="clear" w:color="auto" w:fill="E6E6E6"/>
          </w:tcPr>
          <w:p w14:paraId="72481CF9" w14:textId="77777777" w:rsidR="0077333D" w:rsidRPr="002F2C50" w:rsidRDefault="0077333D" w:rsidP="00E250A8">
            <w:pPr>
              <w:pStyle w:val="NoSpacing"/>
              <w:spacing w:before="40" w:after="40"/>
              <w:jc w:val="center"/>
              <w:rPr>
                <w:rFonts w:ascii="Century Gothic" w:hAnsi="Century Gothic"/>
                <w:color w:val="FFFFFF" w:themeColor="background1"/>
                <w:spacing w:val="20"/>
              </w:rPr>
            </w:pPr>
            <w:r w:rsidRPr="009C040F">
              <w:rPr>
                <w:rFonts w:ascii="Century Gothic" w:hAnsi="Century Gothic"/>
                <w:spacing w:val="20"/>
                <w:sz w:val="22"/>
                <w:szCs w:val="22"/>
              </w:rPr>
              <w:t>Current</w:t>
            </w:r>
          </w:p>
        </w:tc>
      </w:tr>
      <w:tr w:rsidR="0077333D" w14:paraId="4489544B" w14:textId="77777777" w:rsidTr="0077333D">
        <w:tc>
          <w:tcPr>
            <w:tcW w:w="3168" w:type="dxa"/>
          </w:tcPr>
          <w:p w14:paraId="504C4911" w14:textId="77777777" w:rsidR="0077333D" w:rsidRPr="000C4843" w:rsidRDefault="0077333D" w:rsidP="00E250A8">
            <w:pPr>
              <w:pStyle w:val="NoSpacing"/>
              <w:rPr>
                <w:sz w:val="22"/>
                <w:szCs w:val="22"/>
              </w:rPr>
            </w:pPr>
          </w:p>
          <w:p w14:paraId="199C016C" w14:textId="77777777" w:rsidR="0077333D" w:rsidRPr="000C4843" w:rsidRDefault="0077333D" w:rsidP="00E250A8">
            <w:pPr>
              <w:pStyle w:val="NoSpacing"/>
              <w:rPr>
                <w:sz w:val="22"/>
                <w:szCs w:val="22"/>
              </w:rPr>
            </w:pPr>
          </w:p>
        </w:tc>
        <w:tc>
          <w:tcPr>
            <w:tcW w:w="1710" w:type="dxa"/>
          </w:tcPr>
          <w:p w14:paraId="10EF4376" w14:textId="77777777" w:rsidR="0077333D" w:rsidRPr="000C4843" w:rsidRDefault="0077333D" w:rsidP="00E250A8">
            <w:pPr>
              <w:pStyle w:val="NoSpacing"/>
              <w:rPr>
                <w:sz w:val="22"/>
                <w:szCs w:val="22"/>
              </w:rPr>
            </w:pPr>
          </w:p>
        </w:tc>
        <w:tc>
          <w:tcPr>
            <w:tcW w:w="1080" w:type="dxa"/>
          </w:tcPr>
          <w:p w14:paraId="45FBB453" w14:textId="77777777" w:rsidR="0077333D" w:rsidRPr="000C4843" w:rsidRDefault="0077333D" w:rsidP="00E250A8">
            <w:pPr>
              <w:pStyle w:val="NoSpacing"/>
              <w:rPr>
                <w:sz w:val="22"/>
                <w:szCs w:val="22"/>
              </w:rPr>
            </w:pPr>
          </w:p>
        </w:tc>
        <w:tc>
          <w:tcPr>
            <w:tcW w:w="3870" w:type="dxa"/>
          </w:tcPr>
          <w:p w14:paraId="64419F4E" w14:textId="77777777" w:rsidR="0077333D" w:rsidRPr="000C4843" w:rsidRDefault="0077333D" w:rsidP="00E250A8">
            <w:pPr>
              <w:pStyle w:val="NoSpacing"/>
              <w:rPr>
                <w:sz w:val="22"/>
                <w:szCs w:val="22"/>
              </w:rPr>
            </w:pPr>
          </w:p>
        </w:tc>
      </w:tr>
      <w:tr w:rsidR="0077333D" w14:paraId="0D047051" w14:textId="77777777" w:rsidTr="0077333D">
        <w:tc>
          <w:tcPr>
            <w:tcW w:w="3168" w:type="dxa"/>
          </w:tcPr>
          <w:p w14:paraId="63739CBB" w14:textId="77777777" w:rsidR="0077333D" w:rsidRPr="000C4843" w:rsidRDefault="0077333D" w:rsidP="00E250A8">
            <w:pPr>
              <w:pStyle w:val="NoSpacing"/>
              <w:rPr>
                <w:sz w:val="22"/>
                <w:szCs w:val="22"/>
              </w:rPr>
            </w:pPr>
          </w:p>
          <w:p w14:paraId="6550A9D1" w14:textId="77777777" w:rsidR="0077333D" w:rsidRPr="000C4843" w:rsidRDefault="0077333D" w:rsidP="00E250A8">
            <w:pPr>
              <w:pStyle w:val="NoSpacing"/>
              <w:rPr>
                <w:sz w:val="22"/>
                <w:szCs w:val="22"/>
              </w:rPr>
            </w:pPr>
          </w:p>
        </w:tc>
        <w:tc>
          <w:tcPr>
            <w:tcW w:w="1710" w:type="dxa"/>
          </w:tcPr>
          <w:p w14:paraId="628FA8BD" w14:textId="77777777" w:rsidR="0077333D" w:rsidRPr="000C4843" w:rsidRDefault="0077333D" w:rsidP="00E250A8">
            <w:pPr>
              <w:pStyle w:val="NoSpacing"/>
              <w:rPr>
                <w:sz w:val="22"/>
                <w:szCs w:val="22"/>
              </w:rPr>
            </w:pPr>
          </w:p>
        </w:tc>
        <w:tc>
          <w:tcPr>
            <w:tcW w:w="1080" w:type="dxa"/>
          </w:tcPr>
          <w:p w14:paraId="3C49577E" w14:textId="77777777" w:rsidR="0077333D" w:rsidRPr="000C4843" w:rsidRDefault="0077333D" w:rsidP="00E250A8">
            <w:pPr>
              <w:pStyle w:val="NoSpacing"/>
              <w:rPr>
                <w:sz w:val="22"/>
                <w:szCs w:val="22"/>
              </w:rPr>
            </w:pPr>
          </w:p>
        </w:tc>
        <w:tc>
          <w:tcPr>
            <w:tcW w:w="3870" w:type="dxa"/>
          </w:tcPr>
          <w:p w14:paraId="64AE47C6" w14:textId="77777777" w:rsidR="0077333D" w:rsidRPr="000C4843" w:rsidRDefault="0077333D" w:rsidP="00E250A8">
            <w:pPr>
              <w:pStyle w:val="NoSpacing"/>
              <w:rPr>
                <w:sz w:val="22"/>
                <w:szCs w:val="22"/>
              </w:rPr>
            </w:pPr>
          </w:p>
        </w:tc>
      </w:tr>
      <w:tr w:rsidR="0077333D" w14:paraId="54F09CEA" w14:textId="77777777" w:rsidTr="0077333D">
        <w:tc>
          <w:tcPr>
            <w:tcW w:w="3168" w:type="dxa"/>
            <w:tcBorders>
              <w:bottom w:val="single" w:sz="4" w:space="0" w:color="auto"/>
            </w:tcBorders>
          </w:tcPr>
          <w:p w14:paraId="7E5590CA" w14:textId="77777777" w:rsidR="0077333D" w:rsidRPr="000C4843" w:rsidRDefault="0077333D" w:rsidP="00E250A8">
            <w:pPr>
              <w:pStyle w:val="NoSpacing"/>
              <w:rPr>
                <w:sz w:val="22"/>
                <w:szCs w:val="22"/>
              </w:rPr>
            </w:pPr>
          </w:p>
          <w:p w14:paraId="33A08C85" w14:textId="77777777" w:rsidR="0077333D" w:rsidRPr="000C4843" w:rsidRDefault="0077333D" w:rsidP="00E250A8">
            <w:pPr>
              <w:pStyle w:val="NoSpacing"/>
              <w:rPr>
                <w:sz w:val="22"/>
                <w:szCs w:val="22"/>
              </w:rPr>
            </w:pPr>
          </w:p>
        </w:tc>
        <w:tc>
          <w:tcPr>
            <w:tcW w:w="1710" w:type="dxa"/>
            <w:tcBorders>
              <w:bottom w:val="single" w:sz="4" w:space="0" w:color="auto"/>
            </w:tcBorders>
          </w:tcPr>
          <w:p w14:paraId="313B9CF7" w14:textId="77777777" w:rsidR="0077333D" w:rsidRPr="000C4843" w:rsidRDefault="0077333D" w:rsidP="00E250A8">
            <w:pPr>
              <w:pStyle w:val="NoSpacing"/>
              <w:rPr>
                <w:sz w:val="22"/>
                <w:szCs w:val="22"/>
              </w:rPr>
            </w:pPr>
          </w:p>
        </w:tc>
        <w:tc>
          <w:tcPr>
            <w:tcW w:w="1080" w:type="dxa"/>
            <w:tcBorders>
              <w:bottom w:val="single" w:sz="4" w:space="0" w:color="auto"/>
            </w:tcBorders>
          </w:tcPr>
          <w:p w14:paraId="5701709E" w14:textId="77777777" w:rsidR="0077333D" w:rsidRPr="000C4843" w:rsidRDefault="0077333D" w:rsidP="00E250A8">
            <w:pPr>
              <w:pStyle w:val="NoSpacing"/>
              <w:rPr>
                <w:sz w:val="22"/>
                <w:szCs w:val="22"/>
              </w:rPr>
            </w:pPr>
          </w:p>
        </w:tc>
        <w:tc>
          <w:tcPr>
            <w:tcW w:w="3870" w:type="dxa"/>
            <w:tcBorders>
              <w:bottom w:val="single" w:sz="4" w:space="0" w:color="auto"/>
            </w:tcBorders>
          </w:tcPr>
          <w:p w14:paraId="6D4A42C6" w14:textId="77777777" w:rsidR="0077333D" w:rsidRPr="000C4843" w:rsidRDefault="0077333D" w:rsidP="00E250A8">
            <w:pPr>
              <w:pStyle w:val="NoSpacing"/>
              <w:rPr>
                <w:sz w:val="22"/>
                <w:szCs w:val="22"/>
              </w:rPr>
            </w:pPr>
          </w:p>
        </w:tc>
      </w:tr>
      <w:tr w:rsidR="0077333D" w14:paraId="52F73704" w14:textId="77777777" w:rsidTr="00E250A8">
        <w:tc>
          <w:tcPr>
            <w:tcW w:w="9828" w:type="dxa"/>
            <w:gridSpan w:val="4"/>
            <w:shd w:val="clear" w:color="auto" w:fill="E6E6E6"/>
          </w:tcPr>
          <w:p w14:paraId="2DC0A7EF" w14:textId="77777777" w:rsidR="0077333D" w:rsidRPr="00581337" w:rsidRDefault="0077333D" w:rsidP="00E250A8">
            <w:pPr>
              <w:pStyle w:val="NoSpacing"/>
              <w:spacing w:before="40" w:after="40"/>
              <w:jc w:val="center"/>
              <w:rPr>
                <w:rFonts w:ascii="Century Gothic" w:hAnsi="Century Gothic"/>
                <w:spacing w:val="20"/>
                <w:sz w:val="22"/>
                <w:szCs w:val="22"/>
              </w:rPr>
            </w:pPr>
            <w:r w:rsidRPr="00581337">
              <w:rPr>
                <w:rFonts w:ascii="Century Gothic" w:hAnsi="Century Gothic"/>
                <w:spacing w:val="20"/>
                <w:sz w:val="22"/>
                <w:szCs w:val="22"/>
              </w:rPr>
              <w:t>Emerging</w:t>
            </w:r>
          </w:p>
        </w:tc>
      </w:tr>
      <w:tr w:rsidR="0077333D" w14:paraId="10C5466B" w14:textId="77777777" w:rsidTr="0077333D">
        <w:tc>
          <w:tcPr>
            <w:tcW w:w="3168" w:type="dxa"/>
          </w:tcPr>
          <w:p w14:paraId="71068152" w14:textId="77777777" w:rsidR="0077333D" w:rsidRPr="000C4843" w:rsidRDefault="0077333D" w:rsidP="00E250A8">
            <w:pPr>
              <w:pStyle w:val="NoSpacing"/>
              <w:rPr>
                <w:sz w:val="22"/>
                <w:szCs w:val="22"/>
              </w:rPr>
            </w:pPr>
          </w:p>
          <w:p w14:paraId="219C2412" w14:textId="77777777" w:rsidR="0077333D" w:rsidRPr="000C4843" w:rsidRDefault="0077333D" w:rsidP="00E250A8">
            <w:pPr>
              <w:pStyle w:val="NoSpacing"/>
              <w:rPr>
                <w:sz w:val="22"/>
                <w:szCs w:val="22"/>
              </w:rPr>
            </w:pPr>
          </w:p>
        </w:tc>
        <w:tc>
          <w:tcPr>
            <w:tcW w:w="1710" w:type="dxa"/>
          </w:tcPr>
          <w:p w14:paraId="7E2094FC" w14:textId="77777777" w:rsidR="0077333D" w:rsidRPr="000C4843" w:rsidRDefault="0077333D" w:rsidP="00E250A8">
            <w:pPr>
              <w:pStyle w:val="NoSpacing"/>
              <w:rPr>
                <w:sz w:val="22"/>
                <w:szCs w:val="22"/>
              </w:rPr>
            </w:pPr>
          </w:p>
        </w:tc>
        <w:tc>
          <w:tcPr>
            <w:tcW w:w="1080" w:type="dxa"/>
          </w:tcPr>
          <w:p w14:paraId="43008E91" w14:textId="77777777" w:rsidR="0077333D" w:rsidRPr="000C4843" w:rsidRDefault="0077333D" w:rsidP="00E250A8">
            <w:pPr>
              <w:pStyle w:val="NoSpacing"/>
              <w:rPr>
                <w:sz w:val="22"/>
                <w:szCs w:val="22"/>
              </w:rPr>
            </w:pPr>
          </w:p>
        </w:tc>
        <w:tc>
          <w:tcPr>
            <w:tcW w:w="3870" w:type="dxa"/>
          </w:tcPr>
          <w:p w14:paraId="076A36CF" w14:textId="77777777" w:rsidR="0077333D" w:rsidRPr="000C4843" w:rsidRDefault="0077333D" w:rsidP="00E250A8">
            <w:pPr>
              <w:pStyle w:val="NoSpacing"/>
              <w:rPr>
                <w:sz w:val="22"/>
                <w:szCs w:val="22"/>
              </w:rPr>
            </w:pPr>
          </w:p>
        </w:tc>
      </w:tr>
      <w:tr w:rsidR="0077333D" w14:paraId="34CF2DB3" w14:textId="77777777" w:rsidTr="0077333D">
        <w:tc>
          <w:tcPr>
            <w:tcW w:w="3168" w:type="dxa"/>
          </w:tcPr>
          <w:p w14:paraId="7B2B3894" w14:textId="77777777" w:rsidR="0077333D" w:rsidRPr="000C4843" w:rsidRDefault="0077333D" w:rsidP="00E250A8">
            <w:pPr>
              <w:pStyle w:val="NoSpacing"/>
              <w:rPr>
                <w:sz w:val="22"/>
                <w:szCs w:val="22"/>
              </w:rPr>
            </w:pPr>
          </w:p>
          <w:p w14:paraId="4426916F" w14:textId="77777777" w:rsidR="0077333D" w:rsidRPr="000C4843" w:rsidRDefault="0077333D" w:rsidP="00E250A8">
            <w:pPr>
              <w:pStyle w:val="NoSpacing"/>
              <w:rPr>
                <w:sz w:val="22"/>
                <w:szCs w:val="22"/>
              </w:rPr>
            </w:pPr>
          </w:p>
        </w:tc>
        <w:tc>
          <w:tcPr>
            <w:tcW w:w="1710" w:type="dxa"/>
          </w:tcPr>
          <w:p w14:paraId="16A618FB" w14:textId="77777777" w:rsidR="0077333D" w:rsidRPr="000C4843" w:rsidRDefault="0077333D" w:rsidP="00E250A8">
            <w:pPr>
              <w:pStyle w:val="NoSpacing"/>
              <w:rPr>
                <w:sz w:val="22"/>
                <w:szCs w:val="22"/>
              </w:rPr>
            </w:pPr>
          </w:p>
        </w:tc>
        <w:tc>
          <w:tcPr>
            <w:tcW w:w="1080" w:type="dxa"/>
          </w:tcPr>
          <w:p w14:paraId="7D191DDC" w14:textId="77777777" w:rsidR="0077333D" w:rsidRPr="000C4843" w:rsidRDefault="0077333D" w:rsidP="00E250A8">
            <w:pPr>
              <w:pStyle w:val="NoSpacing"/>
              <w:rPr>
                <w:sz w:val="22"/>
                <w:szCs w:val="22"/>
              </w:rPr>
            </w:pPr>
          </w:p>
        </w:tc>
        <w:tc>
          <w:tcPr>
            <w:tcW w:w="3870" w:type="dxa"/>
          </w:tcPr>
          <w:p w14:paraId="479B8878" w14:textId="77777777" w:rsidR="0077333D" w:rsidRPr="000C4843" w:rsidRDefault="0077333D" w:rsidP="00E250A8">
            <w:pPr>
              <w:pStyle w:val="NoSpacing"/>
              <w:rPr>
                <w:sz w:val="22"/>
                <w:szCs w:val="22"/>
              </w:rPr>
            </w:pPr>
          </w:p>
        </w:tc>
      </w:tr>
      <w:tr w:rsidR="0077333D" w14:paraId="1D9F97A7" w14:textId="77777777" w:rsidTr="0077333D">
        <w:tc>
          <w:tcPr>
            <w:tcW w:w="3168" w:type="dxa"/>
          </w:tcPr>
          <w:p w14:paraId="0B18F828" w14:textId="77777777" w:rsidR="0077333D" w:rsidRPr="000C4843" w:rsidRDefault="0077333D" w:rsidP="00E250A8">
            <w:pPr>
              <w:pStyle w:val="NoSpacing"/>
              <w:rPr>
                <w:sz w:val="22"/>
                <w:szCs w:val="22"/>
              </w:rPr>
            </w:pPr>
          </w:p>
          <w:p w14:paraId="57F4DEFC" w14:textId="77777777" w:rsidR="0077333D" w:rsidRPr="000C4843" w:rsidRDefault="0077333D" w:rsidP="00E250A8">
            <w:pPr>
              <w:pStyle w:val="NoSpacing"/>
              <w:rPr>
                <w:sz w:val="22"/>
                <w:szCs w:val="22"/>
              </w:rPr>
            </w:pPr>
          </w:p>
        </w:tc>
        <w:tc>
          <w:tcPr>
            <w:tcW w:w="1710" w:type="dxa"/>
          </w:tcPr>
          <w:p w14:paraId="681B5C2F" w14:textId="77777777" w:rsidR="0077333D" w:rsidRPr="000C4843" w:rsidRDefault="0077333D" w:rsidP="00E250A8">
            <w:pPr>
              <w:pStyle w:val="NoSpacing"/>
              <w:rPr>
                <w:sz w:val="22"/>
                <w:szCs w:val="22"/>
              </w:rPr>
            </w:pPr>
          </w:p>
        </w:tc>
        <w:tc>
          <w:tcPr>
            <w:tcW w:w="1080" w:type="dxa"/>
          </w:tcPr>
          <w:p w14:paraId="7CAC73D4" w14:textId="77777777" w:rsidR="0077333D" w:rsidRPr="000C4843" w:rsidRDefault="0077333D" w:rsidP="00E250A8">
            <w:pPr>
              <w:pStyle w:val="NoSpacing"/>
              <w:rPr>
                <w:sz w:val="22"/>
                <w:szCs w:val="22"/>
              </w:rPr>
            </w:pPr>
          </w:p>
        </w:tc>
        <w:tc>
          <w:tcPr>
            <w:tcW w:w="3870" w:type="dxa"/>
          </w:tcPr>
          <w:p w14:paraId="7EE47669" w14:textId="77777777" w:rsidR="0077333D" w:rsidRPr="000C4843" w:rsidRDefault="0077333D" w:rsidP="00E250A8">
            <w:pPr>
              <w:pStyle w:val="NoSpacing"/>
              <w:rPr>
                <w:sz w:val="22"/>
                <w:szCs w:val="22"/>
              </w:rPr>
            </w:pPr>
          </w:p>
        </w:tc>
      </w:tr>
    </w:tbl>
    <w:p w14:paraId="509B6D8F" w14:textId="77777777" w:rsidR="0077333D" w:rsidRPr="009D2CEC" w:rsidRDefault="0077333D" w:rsidP="0077333D">
      <w:pPr>
        <w:spacing w:before="200" w:after="160"/>
        <w:ind w:left="360"/>
        <w:rPr>
          <w:rFonts w:cs="Times New Roman"/>
          <w:b/>
        </w:rPr>
      </w:pPr>
      <w:r w:rsidRPr="009D2CEC">
        <w:rPr>
          <w:rFonts w:cs="Times New Roman"/>
          <w:b/>
        </w:rPr>
        <w:t>Open outreach:</w:t>
      </w:r>
    </w:p>
    <w:p w14:paraId="75C6E9ED" w14:textId="77777777" w:rsidR="0077333D" w:rsidRPr="009D2CEC" w:rsidRDefault="0077333D" w:rsidP="0077333D">
      <w:pPr>
        <w:pStyle w:val="NoSpacing"/>
        <w:numPr>
          <w:ilvl w:val="0"/>
          <w:numId w:val="14"/>
        </w:numPr>
        <w:spacing w:after="200"/>
        <w:ind w:left="1080"/>
        <w:rPr>
          <w:rFonts w:ascii="Cambria" w:hAnsi="Cambria"/>
          <w:b/>
        </w:rPr>
      </w:pPr>
      <w:r w:rsidRPr="009D2CEC">
        <w:rPr>
          <w:rFonts w:ascii="Cambria" w:hAnsi="Cambria"/>
        </w:rPr>
        <w:t>Identify activities you would like to be open to all faculty. Consider whether there would be any qualifying requirements or application process.</w:t>
      </w:r>
    </w:p>
    <w:tbl>
      <w:tblPr>
        <w:tblStyle w:val="TableGrid"/>
        <w:tblW w:w="0" w:type="auto"/>
        <w:tblLook w:val="04A0" w:firstRow="1" w:lastRow="0" w:firstColumn="1" w:lastColumn="0" w:noHBand="0" w:noVBand="1"/>
      </w:tblPr>
      <w:tblGrid>
        <w:gridCol w:w="4780"/>
        <w:gridCol w:w="4796"/>
      </w:tblGrid>
      <w:tr w:rsidR="0077333D" w:rsidRPr="002F2C50" w14:paraId="5389A85B" w14:textId="77777777" w:rsidTr="0077333D">
        <w:tc>
          <w:tcPr>
            <w:tcW w:w="4860" w:type="dxa"/>
            <w:shd w:val="clear" w:color="auto" w:fill="808080" w:themeFill="background1" w:themeFillShade="80"/>
          </w:tcPr>
          <w:p w14:paraId="6B092746"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Activity</w:t>
            </w:r>
          </w:p>
        </w:tc>
        <w:tc>
          <w:tcPr>
            <w:tcW w:w="4860" w:type="dxa"/>
            <w:shd w:val="clear" w:color="auto" w:fill="808080" w:themeFill="background1" w:themeFillShade="80"/>
          </w:tcPr>
          <w:p w14:paraId="5934A423"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Notes on Requirements for Participation</w:t>
            </w:r>
          </w:p>
        </w:tc>
      </w:tr>
      <w:tr w:rsidR="0077333D" w14:paraId="6DB833F6" w14:textId="77777777" w:rsidTr="00E250A8">
        <w:tc>
          <w:tcPr>
            <w:tcW w:w="4860" w:type="dxa"/>
          </w:tcPr>
          <w:p w14:paraId="630C9C80" w14:textId="77777777" w:rsidR="0077333D" w:rsidRPr="000C4843" w:rsidRDefault="0077333D" w:rsidP="00E250A8">
            <w:pPr>
              <w:pStyle w:val="NoSpacing"/>
              <w:rPr>
                <w:sz w:val="22"/>
                <w:szCs w:val="22"/>
              </w:rPr>
            </w:pPr>
          </w:p>
        </w:tc>
        <w:tc>
          <w:tcPr>
            <w:tcW w:w="4860" w:type="dxa"/>
          </w:tcPr>
          <w:p w14:paraId="75DCB47C" w14:textId="77777777" w:rsidR="0077333D" w:rsidRPr="000C4843" w:rsidRDefault="0077333D" w:rsidP="00E250A8">
            <w:pPr>
              <w:pStyle w:val="NoSpacing"/>
              <w:rPr>
                <w:sz w:val="22"/>
                <w:szCs w:val="22"/>
              </w:rPr>
            </w:pPr>
          </w:p>
          <w:p w14:paraId="2F04FF05" w14:textId="77777777" w:rsidR="0077333D" w:rsidRPr="000C4843" w:rsidRDefault="0077333D" w:rsidP="00E250A8">
            <w:pPr>
              <w:pStyle w:val="NoSpacing"/>
              <w:rPr>
                <w:sz w:val="22"/>
                <w:szCs w:val="22"/>
              </w:rPr>
            </w:pPr>
          </w:p>
        </w:tc>
      </w:tr>
      <w:tr w:rsidR="0077333D" w14:paraId="58D0A8D5" w14:textId="77777777" w:rsidTr="00E250A8">
        <w:tc>
          <w:tcPr>
            <w:tcW w:w="4860" w:type="dxa"/>
          </w:tcPr>
          <w:p w14:paraId="4EAE59B4" w14:textId="77777777" w:rsidR="0077333D" w:rsidRPr="000C4843" w:rsidRDefault="0077333D" w:rsidP="00E250A8">
            <w:pPr>
              <w:pStyle w:val="NoSpacing"/>
              <w:rPr>
                <w:sz w:val="22"/>
                <w:szCs w:val="22"/>
              </w:rPr>
            </w:pPr>
          </w:p>
          <w:p w14:paraId="11B4399E" w14:textId="77777777" w:rsidR="0077333D" w:rsidRPr="000C4843" w:rsidRDefault="0077333D" w:rsidP="00E250A8">
            <w:pPr>
              <w:pStyle w:val="NoSpacing"/>
              <w:rPr>
                <w:sz w:val="22"/>
                <w:szCs w:val="22"/>
              </w:rPr>
            </w:pPr>
          </w:p>
        </w:tc>
        <w:tc>
          <w:tcPr>
            <w:tcW w:w="4860" w:type="dxa"/>
          </w:tcPr>
          <w:p w14:paraId="4A13131A" w14:textId="77777777" w:rsidR="0077333D" w:rsidRPr="000C4843" w:rsidRDefault="0077333D" w:rsidP="00E250A8">
            <w:pPr>
              <w:pStyle w:val="NoSpacing"/>
              <w:rPr>
                <w:sz w:val="22"/>
                <w:szCs w:val="22"/>
              </w:rPr>
            </w:pPr>
          </w:p>
        </w:tc>
      </w:tr>
      <w:tr w:rsidR="0077333D" w14:paraId="3C9009D8" w14:textId="77777777" w:rsidTr="00E250A8">
        <w:tc>
          <w:tcPr>
            <w:tcW w:w="4860" w:type="dxa"/>
          </w:tcPr>
          <w:p w14:paraId="57E9CBCB" w14:textId="77777777" w:rsidR="0077333D" w:rsidRPr="000C4843" w:rsidRDefault="0077333D" w:rsidP="00E250A8">
            <w:pPr>
              <w:pStyle w:val="NoSpacing"/>
              <w:rPr>
                <w:sz w:val="22"/>
                <w:szCs w:val="22"/>
              </w:rPr>
            </w:pPr>
          </w:p>
          <w:p w14:paraId="3F3C1179" w14:textId="77777777" w:rsidR="0077333D" w:rsidRPr="000C4843" w:rsidRDefault="0077333D" w:rsidP="00E250A8">
            <w:pPr>
              <w:pStyle w:val="NoSpacing"/>
              <w:rPr>
                <w:sz w:val="22"/>
                <w:szCs w:val="22"/>
              </w:rPr>
            </w:pPr>
          </w:p>
        </w:tc>
        <w:tc>
          <w:tcPr>
            <w:tcW w:w="4860" w:type="dxa"/>
          </w:tcPr>
          <w:p w14:paraId="7E7729EB" w14:textId="77777777" w:rsidR="0077333D" w:rsidRPr="000C4843" w:rsidRDefault="0077333D" w:rsidP="00E250A8">
            <w:pPr>
              <w:pStyle w:val="NoSpacing"/>
              <w:rPr>
                <w:sz w:val="22"/>
                <w:szCs w:val="22"/>
              </w:rPr>
            </w:pPr>
          </w:p>
        </w:tc>
      </w:tr>
    </w:tbl>
    <w:p w14:paraId="7CD6657A" w14:textId="77777777" w:rsidR="0077333D" w:rsidRPr="009D2CEC" w:rsidRDefault="0077333D" w:rsidP="0077333D">
      <w:pPr>
        <w:pStyle w:val="ListParagraph"/>
        <w:numPr>
          <w:ilvl w:val="0"/>
          <w:numId w:val="7"/>
        </w:numPr>
        <w:spacing w:before="200"/>
        <w:ind w:left="360"/>
        <w:rPr>
          <w:rFonts w:cs="Times New Roman"/>
        </w:rPr>
      </w:pPr>
      <w:r w:rsidRPr="009D2CEC">
        <w:rPr>
          <w:rFonts w:cs="Times New Roman"/>
          <w:u w:val="single"/>
        </w:rPr>
        <w:lastRenderedPageBreak/>
        <w:t>Consider resources and commitments</w:t>
      </w:r>
      <w:r w:rsidRPr="009D2CEC">
        <w:rPr>
          <w:rFonts w:cs="Times New Roman"/>
        </w:rPr>
        <w:t xml:space="preserve">. The following prompts will help you consider other issues related to building faculty capacity and leadership. </w:t>
      </w:r>
    </w:p>
    <w:p w14:paraId="47FFFA7F" w14:textId="77777777" w:rsidR="0077333D" w:rsidRPr="009D2CEC" w:rsidRDefault="0077333D" w:rsidP="0077333D">
      <w:pPr>
        <w:pStyle w:val="ListParagraph"/>
        <w:numPr>
          <w:ilvl w:val="0"/>
          <w:numId w:val="15"/>
        </w:numPr>
        <w:spacing w:before="80"/>
        <w:ind w:left="1080"/>
        <w:contextualSpacing w:val="0"/>
        <w:rPr>
          <w:rFonts w:cs="Times New Roman"/>
        </w:rPr>
      </w:pPr>
      <w:r w:rsidRPr="009D2CEC">
        <w:rPr>
          <w:rFonts w:cs="Times New Roman"/>
        </w:rPr>
        <w:t>What resources (e.g., financial, time, people) are available to support the activities you identified above?</w:t>
      </w:r>
    </w:p>
    <w:p w14:paraId="4239B9AC" w14:textId="77777777" w:rsidR="0077333D" w:rsidRPr="009D2CEC" w:rsidRDefault="0077333D" w:rsidP="0077333D">
      <w:pPr>
        <w:pStyle w:val="ListParagraph"/>
        <w:numPr>
          <w:ilvl w:val="0"/>
          <w:numId w:val="15"/>
        </w:numPr>
        <w:spacing w:before="80"/>
        <w:ind w:left="1080"/>
        <w:contextualSpacing w:val="0"/>
        <w:rPr>
          <w:rFonts w:cs="Times New Roman"/>
        </w:rPr>
      </w:pPr>
      <w:r w:rsidRPr="009D2CEC">
        <w:rPr>
          <w:rFonts w:cs="Times New Roman"/>
        </w:rPr>
        <w:t>What opportunities do you have to obtain additional resources?</w:t>
      </w:r>
    </w:p>
    <w:p w14:paraId="3B94C5AA" w14:textId="77777777" w:rsidR="0077333D" w:rsidRPr="009D2CEC" w:rsidRDefault="0077333D" w:rsidP="0077333D">
      <w:pPr>
        <w:pStyle w:val="NoSpacing"/>
        <w:numPr>
          <w:ilvl w:val="0"/>
          <w:numId w:val="14"/>
        </w:numPr>
        <w:spacing w:before="80" w:after="200"/>
        <w:ind w:left="1080"/>
        <w:rPr>
          <w:rFonts w:ascii="Cambria" w:hAnsi="Cambria" w:cs="Times New Roman"/>
        </w:rPr>
      </w:pPr>
      <w:r w:rsidRPr="009D2CEC">
        <w:rPr>
          <w:rFonts w:ascii="Cambria" w:hAnsi="Cambria" w:cs="Times New Roman"/>
        </w:rPr>
        <w:t xml:space="preserve">What commitments should faculty be expected to make if they participate in an activity? For example, if the college supports a faculty member to attend training, is that participant responsible for disseminating information from </w:t>
      </w:r>
      <w:r w:rsidRPr="009D2CEC">
        <w:rPr>
          <w:rFonts w:ascii="Cambria" w:hAnsi="Cambria"/>
        </w:rPr>
        <w:t>that</w:t>
      </w:r>
      <w:r w:rsidRPr="009D2CEC">
        <w:rPr>
          <w:rFonts w:ascii="Cambria" w:hAnsi="Cambria" w:cs="Times New Roman"/>
        </w:rPr>
        <w:t xml:space="preserve"> training session?</w:t>
      </w:r>
    </w:p>
    <w:tbl>
      <w:tblPr>
        <w:tblStyle w:val="TableGrid"/>
        <w:tblW w:w="0" w:type="auto"/>
        <w:tblLook w:val="04A0" w:firstRow="1" w:lastRow="0" w:firstColumn="1" w:lastColumn="0" w:noHBand="0" w:noVBand="1"/>
      </w:tblPr>
      <w:tblGrid>
        <w:gridCol w:w="9576"/>
      </w:tblGrid>
      <w:tr w:rsidR="0077333D" w:rsidRPr="00A53535" w14:paraId="3F9EDEE5" w14:textId="77777777" w:rsidTr="0077333D">
        <w:tc>
          <w:tcPr>
            <w:tcW w:w="9720" w:type="dxa"/>
            <w:shd w:val="clear" w:color="auto" w:fill="808080" w:themeFill="background1" w:themeFillShade="80"/>
          </w:tcPr>
          <w:p w14:paraId="556FDDDA" w14:textId="6DE3C935" w:rsidR="0077333D" w:rsidRPr="00144E7D" w:rsidRDefault="0077333D" w:rsidP="00144E7D">
            <w:pPr>
              <w:pStyle w:val="NoSpacing"/>
              <w:spacing w:before="120" w:after="120"/>
              <w:jc w:val="center"/>
              <w:rPr>
                <w:rFonts w:ascii="Century Gothic" w:hAnsi="Century Gothic" w:cs="Times New Roman"/>
                <w:bCs/>
                <w:color w:val="FFFFFF" w:themeColor="background1"/>
                <w:spacing w:val="20"/>
              </w:rPr>
            </w:pPr>
            <w:r w:rsidRPr="00144E7D">
              <w:rPr>
                <w:rFonts w:ascii="Century Gothic" w:hAnsi="Century Gothic"/>
                <w:b/>
                <w:bCs/>
                <w:color w:val="FFFFFF" w:themeColor="background1"/>
              </w:rPr>
              <w:t>Notes on Resources and Commitments</w:t>
            </w:r>
          </w:p>
        </w:tc>
      </w:tr>
      <w:tr w:rsidR="0077333D" w14:paraId="1088E899" w14:textId="77777777" w:rsidTr="00E250A8">
        <w:tc>
          <w:tcPr>
            <w:tcW w:w="9720" w:type="dxa"/>
          </w:tcPr>
          <w:p w14:paraId="4CD9C3D8" w14:textId="77777777" w:rsidR="0077333D" w:rsidRPr="000C4843" w:rsidRDefault="0077333D" w:rsidP="00E250A8">
            <w:pPr>
              <w:pStyle w:val="NoSpacing"/>
              <w:ind w:left="360"/>
              <w:rPr>
                <w:rFonts w:cs="Times New Roman"/>
                <w:sz w:val="22"/>
                <w:szCs w:val="22"/>
              </w:rPr>
            </w:pPr>
          </w:p>
          <w:p w14:paraId="593B0857" w14:textId="77777777" w:rsidR="0077333D" w:rsidRPr="000C4843" w:rsidRDefault="0077333D" w:rsidP="00E250A8">
            <w:pPr>
              <w:pStyle w:val="NoSpacing"/>
              <w:ind w:left="360"/>
              <w:rPr>
                <w:rFonts w:cs="Times New Roman"/>
                <w:sz w:val="22"/>
                <w:szCs w:val="22"/>
              </w:rPr>
            </w:pPr>
          </w:p>
          <w:p w14:paraId="48BBC766" w14:textId="77777777" w:rsidR="0077333D" w:rsidRPr="000C4843" w:rsidRDefault="0077333D" w:rsidP="00E250A8">
            <w:pPr>
              <w:pStyle w:val="NoSpacing"/>
              <w:ind w:left="360"/>
              <w:rPr>
                <w:rFonts w:cs="Times New Roman"/>
                <w:sz w:val="22"/>
                <w:szCs w:val="22"/>
              </w:rPr>
            </w:pPr>
          </w:p>
          <w:p w14:paraId="66DD6D11" w14:textId="77777777" w:rsidR="0077333D" w:rsidRPr="000C4843" w:rsidRDefault="0077333D" w:rsidP="00E250A8">
            <w:pPr>
              <w:pStyle w:val="NoSpacing"/>
              <w:ind w:left="360"/>
              <w:rPr>
                <w:rFonts w:cs="Times New Roman"/>
                <w:sz w:val="22"/>
                <w:szCs w:val="22"/>
              </w:rPr>
            </w:pPr>
          </w:p>
          <w:p w14:paraId="57AE1D49" w14:textId="77777777" w:rsidR="0077333D" w:rsidRPr="000C4843" w:rsidRDefault="0077333D" w:rsidP="00E250A8">
            <w:pPr>
              <w:pStyle w:val="NoSpacing"/>
              <w:ind w:left="360"/>
              <w:rPr>
                <w:rFonts w:cs="Times New Roman"/>
                <w:sz w:val="22"/>
                <w:szCs w:val="22"/>
              </w:rPr>
            </w:pPr>
          </w:p>
          <w:p w14:paraId="4DA659E0" w14:textId="77777777" w:rsidR="0077333D" w:rsidRPr="000C4843" w:rsidRDefault="0077333D" w:rsidP="00E250A8">
            <w:pPr>
              <w:pStyle w:val="NoSpacing"/>
              <w:ind w:left="360"/>
              <w:rPr>
                <w:rFonts w:cs="Times New Roman"/>
                <w:sz w:val="22"/>
                <w:szCs w:val="22"/>
              </w:rPr>
            </w:pPr>
          </w:p>
          <w:p w14:paraId="01D2D6D9" w14:textId="77777777" w:rsidR="0077333D" w:rsidRDefault="0077333D" w:rsidP="00E250A8">
            <w:pPr>
              <w:pStyle w:val="NoSpacing"/>
              <w:ind w:left="360"/>
              <w:rPr>
                <w:rFonts w:cs="Times New Roman"/>
              </w:rPr>
            </w:pPr>
          </w:p>
        </w:tc>
      </w:tr>
    </w:tbl>
    <w:p w14:paraId="6F4FFE0A" w14:textId="77777777" w:rsidR="0077333D" w:rsidRPr="009C040F" w:rsidRDefault="0077333D" w:rsidP="0077333D">
      <w:pPr>
        <w:spacing w:before="200"/>
        <w:ind w:left="720"/>
        <w:rPr>
          <w:rFonts w:cs="Times New Roman"/>
          <w:sz w:val="22"/>
          <w:szCs w:val="22"/>
        </w:rPr>
      </w:pPr>
    </w:p>
    <w:p w14:paraId="6AD1A8E9" w14:textId="77777777" w:rsidR="0077333D" w:rsidRPr="009C040F" w:rsidRDefault="0077333D" w:rsidP="0077333D">
      <w:pPr>
        <w:spacing w:before="200"/>
        <w:rPr>
          <w:rFonts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7333D" w14:paraId="1619160D" w14:textId="77777777" w:rsidTr="00E250A8">
        <w:tc>
          <w:tcPr>
            <w:tcW w:w="9720" w:type="dxa"/>
            <w:shd w:val="clear" w:color="auto" w:fill="auto"/>
          </w:tcPr>
          <w:p w14:paraId="0849E66A" w14:textId="423AA4E4" w:rsidR="0077333D" w:rsidRPr="00552193" w:rsidRDefault="0077333D" w:rsidP="00E250A8">
            <w:pPr>
              <w:pBdr>
                <w:bottom w:val="dotted" w:sz="4" w:space="0" w:color="auto"/>
              </w:pBdr>
              <w:tabs>
                <w:tab w:val="left" w:pos="1080"/>
              </w:tabs>
              <w:spacing w:before="120" w:after="120"/>
              <w:ind w:left="1080" w:hanging="1080"/>
              <w:rPr>
                <w:rFonts w:ascii="Century Gothic" w:hAnsi="Century Gothic"/>
                <w:b/>
                <w:bCs/>
                <w:sz w:val="28"/>
                <w:szCs w:val="28"/>
              </w:rPr>
            </w:pPr>
            <w:r w:rsidRPr="00552193">
              <w:rPr>
                <w:rFonts w:ascii="Century Gothic" w:hAnsi="Century Gothic"/>
                <w:b/>
                <w:bCs/>
                <w:sz w:val="28"/>
                <w:szCs w:val="28"/>
              </w:rPr>
              <w:t>Part II</w:t>
            </w:r>
            <w:r w:rsidR="00CB0DA5">
              <w:rPr>
                <w:rFonts w:ascii="Century Gothic" w:hAnsi="Century Gothic"/>
                <w:b/>
                <w:bCs/>
                <w:sz w:val="28"/>
                <w:szCs w:val="28"/>
              </w:rPr>
              <w:t>I</w:t>
            </w:r>
            <w:r w:rsidRPr="00552193">
              <w:rPr>
                <w:rFonts w:ascii="Century Gothic" w:hAnsi="Century Gothic"/>
                <w:b/>
                <w:bCs/>
                <w:sz w:val="28"/>
                <w:szCs w:val="28"/>
              </w:rPr>
              <w:t>: Making a plan</w:t>
            </w:r>
          </w:p>
        </w:tc>
      </w:tr>
    </w:tbl>
    <w:p w14:paraId="5B6FA446" w14:textId="77777777" w:rsidR="0077333D" w:rsidRDefault="0077333D" w:rsidP="0059742B">
      <w:pPr>
        <w:spacing w:before="120"/>
        <w:rPr>
          <w:rFonts w:cs="Times New Roman"/>
          <w:sz w:val="22"/>
          <w:szCs w:val="22"/>
        </w:rPr>
      </w:pPr>
      <w:r w:rsidRPr="000C4843">
        <w:rPr>
          <w:rFonts w:cs="Times New Roman"/>
          <w:b/>
          <w:sz w:val="22"/>
          <w:szCs w:val="22"/>
        </w:rPr>
        <w:t>Instructions:</w:t>
      </w:r>
      <w:r w:rsidRPr="000C4843">
        <w:rPr>
          <w:rFonts w:cs="Times New Roman"/>
          <w:sz w:val="22"/>
          <w:szCs w:val="22"/>
        </w:rPr>
        <w:t xml:space="preserve"> Review the discussion from Parts I and II to identify priorities. Create an action plan for building faculty engagement and leadership. Include time to review and repeat this planning process to continue building faculty capacity.</w:t>
      </w:r>
    </w:p>
    <w:p w14:paraId="57CD8DA4" w14:textId="77777777" w:rsidR="00CB0DA5" w:rsidRPr="000C4843" w:rsidRDefault="00CB0DA5" w:rsidP="0059742B">
      <w:pPr>
        <w:spacing w:before="120"/>
        <w:rPr>
          <w:rFonts w:cs="Times New Roman"/>
          <w:sz w:val="22"/>
          <w:szCs w:val="22"/>
        </w:rPr>
      </w:pPr>
    </w:p>
    <w:tbl>
      <w:tblPr>
        <w:tblStyle w:val="TableGrid"/>
        <w:tblW w:w="0" w:type="auto"/>
        <w:tblLook w:val="04A0" w:firstRow="1" w:lastRow="0" w:firstColumn="1" w:lastColumn="0" w:noHBand="0" w:noVBand="1"/>
      </w:tblPr>
      <w:tblGrid>
        <w:gridCol w:w="5572"/>
        <w:gridCol w:w="2323"/>
        <w:gridCol w:w="1681"/>
      </w:tblGrid>
      <w:tr w:rsidR="0077333D" w:rsidRPr="002A7928" w14:paraId="200AB8C8" w14:textId="77777777" w:rsidTr="00B74291">
        <w:tc>
          <w:tcPr>
            <w:tcW w:w="5688" w:type="dxa"/>
            <w:shd w:val="clear" w:color="auto" w:fill="808080" w:themeFill="background1" w:themeFillShade="80"/>
            <w:vAlign w:val="center"/>
          </w:tcPr>
          <w:p w14:paraId="64FDEA11" w14:textId="77777777" w:rsidR="0077333D" w:rsidRPr="00144E7D" w:rsidRDefault="0077333D" w:rsidP="00B74291">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Action</w:t>
            </w:r>
          </w:p>
        </w:tc>
        <w:tc>
          <w:tcPr>
            <w:tcW w:w="2340" w:type="dxa"/>
            <w:shd w:val="clear" w:color="auto" w:fill="808080" w:themeFill="background1" w:themeFillShade="80"/>
          </w:tcPr>
          <w:p w14:paraId="7C0989CE"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Who is responsible?</w:t>
            </w:r>
          </w:p>
        </w:tc>
        <w:tc>
          <w:tcPr>
            <w:tcW w:w="1692" w:type="dxa"/>
            <w:shd w:val="clear" w:color="auto" w:fill="808080" w:themeFill="background1" w:themeFillShade="80"/>
          </w:tcPr>
          <w:p w14:paraId="14F898CD" w14:textId="77777777" w:rsidR="0077333D" w:rsidRPr="00144E7D" w:rsidRDefault="0077333D" w:rsidP="00144E7D">
            <w:pPr>
              <w:pStyle w:val="NoSpacing"/>
              <w:spacing w:before="120" w:after="120"/>
              <w:jc w:val="center"/>
              <w:rPr>
                <w:rFonts w:ascii="Century Gothic" w:hAnsi="Century Gothic"/>
                <w:b/>
                <w:bCs/>
                <w:color w:val="FFFFFF" w:themeColor="background1"/>
              </w:rPr>
            </w:pPr>
            <w:r w:rsidRPr="00144E7D">
              <w:rPr>
                <w:rFonts w:ascii="Century Gothic" w:hAnsi="Century Gothic"/>
                <w:b/>
                <w:bCs/>
                <w:color w:val="FFFFFF" w:themeColor="background1"/>
              </w:rPr>
              <w:t>Deadline</w:t>
            </w:r>
          </w:p>
        </w:tc>
      </w:tr>
      <w:tr w:rsidR="0077333D" w14:paraId="18D2D8F6" w14:textId="77777777" w:rsidTr="00E250A8">
        <w:tc>
          <w:tcPr>
            <w:tcW w:w="5688" w:type="dxa"/>
          </w:tcPr>
          <w:p w14:paraId="565F8EFF" w14:textId="77777777" w:rsidR="0077333D" w:rsidRPr="000C4843" w:rsidRDefault="0077333D" w:rsidP="00E250A8">
            <w:pPr>
              <w:pStyle w:val="NoSpacing"/>
              <w:rPr>
                <w:sz w:val="22"/>
                <w:szCs w:val="22"/>
              </w:rPr>
            </w:pPr>
          </w:p>
          <w:p w14:paraId="2AFDAB46" w14:textId="77777777" w:rsidR="0077333D" w:rsidRPr="000C4843" w:rsidRDefault="0077333D" w:rsidP="00E250A8">
            <w:pPr>
              <w:pStyle w:val="NoSpacing"/>
              <w:rPr>
                <w:sz w:val="22"/>
                <w:szCs w:val="22"/>
              </w:rPr>
            </w:pPr>
          </w:p>
        </w:tc>
        <w:tc>
          <w:tcPr>
            <w:tcW w:w="2340" w:type="dxa"/>
          </w:tcPr>
          <w:p w14:paraId="60A05FB7" w14:textId="77777777" w:rsidR="0077333D" w:rsidRPr="000C4843" w:rsidRDefault="0077333D" w:rsidP="00E250A8">
            <w:pPr>
              <w:pStyle w:val="NoSpacing"/>
              <w:rPr>
                <w:sz w:val="22"/>
                <w:szCs w:val="22"/>
              </w:rPr>
            </w:pPr>
          </w:p>
        </w:tc>
        <w:tc>
          <w:tcPr>
            <w:tcW w:w="1692" w:type="dxa"/>
          </w:tcPr>
          <w:p w14:paraId="0384CDAB" w14:textId="77777777" w:rsidR="0077333D" w:rsidRPr="000C4843" w:rsidRDefault="0077333D" w:rsidP="00E250A8">
            <w:pPr>
              <w:pStyle w:val="NoSpacing"/>
              <w:rPr>
                <w:sz w:val="22"/>
                <w:szCs w:val="22"/>
              </w:rPr>
            </w:pPr>
          </w:p>
        </w:tc>
      </w:tr>
      <w:tr w:rsidR="0077333D" w14:paraId="1637AE25" w14:textId="77777777" w:rsidTr="00E250A8">
        <w:tc>
          <w:tcPr>
            <w:tcW w:w="5688" w:type="dxa"/>
          </w:tcPr>
          <w:p w14:paraId="6BDA25EA" w14:textId="77777777" w:rsidR="0077333D" w:rsidRPr="000C4843" w:rsidRDefault="0077333D" w:rsidP="00E250A8">
            <w:pPr>
              <w:pStyle w:val="NoSpacing"/>
              <w:rPr>
                <w:sz w:val="22"/>
                <w:szCs w:val="22"/>
              </w:rPr>
            </w:pPr>
          </w:p>
          <w:p w14:paraId="2AED65F7" w14:textId="77777777" w:rsidR="0077333D" w:rsidRPr="000C4843" w:rsidRDefault="0077333D" w:rsidP="00E250A8">
            <w:pPr>
              <w:pStyle w:val="NoSpacing"/>
              <w:rPr>
                <w:sz w:val="22"/>
                <w:szCs w:val="22"/>
              </w:rPr>
            </w:pPr>
          </w:p>
        </w:tc>
        <w:tc>
          <w:tcPr>
            <w:tcW w:w="2340" w:type="dxa"/>
          </w:tcPr>
          <w:p w14:paraId="706D7431" w14:textId="77777777" w:rsidR="0077333D" w:rsidRPr="000C4843" w:rsidRDefault="0077333D" w:rsidP="00E250A8">
            <w:pPr>
              <w:pStyle w:val="NoSpacing"/>
              <w:rPr>
                <w:sz w:val="22"/>
                <w:szCs w:val="22"/>
              </w:rPr>
            </w:pPr>
          </w:p>
        </w:tc>
        <w:tc>
          <w:tcPr>
            <w:tcW w:w="1692" w:type="dxa"/>
          </w:tcPr>
          <w:p w14:paraId="320F763C" w14:textId="77777777" w:rsidR="0077333D" w:rsidRPr="000C4843" w:rsidRDefault="0077333D" w:rsidP="00E250A8">
            <w:pPr>
              <w:pStyle w:val="NoSpacing"/>
              <w:rPr>
                <w:sz w:val="22"/>
                <w:szCs w:val="22"/>
              </w:rPr>
            </w:pPr>
          </w:p>
        </w:tc>
      </w:tr>
      <w:tr w:rsidR="0077333D" w14:paraId="56711827" w14:textId="77777777" w:rsidTr="00E250A8">
        <w:tc>
          <w:tcPr>
            <w:tcW w:w="5688" w:type="dxa"/>
          </w:tcPr>
          <w:p w14:paraId="71208CD1" w14:textId="77777777" w:rsidR="0077333D" w:rsidRPr="000C4843" w:rsidRDefault="0077333D" w:rsidP="00E250A8">
            <w:pPr>
              <w:pStyle w:val="NoSpacing"/>
              <w:rPr>
                <w:sz w:val="22"/>
                <w:szCs w:val="22"/>
              </w:rPr>
            </w:pPr>
          </w:p>
          <w:p w14:paraId="08C723CB" w14:textId="77777777" w:rsidR="0077333D" w:rsidRPr="000C4843" w:rsidRDefault="0077333D" w:rsidP="00E250A8">
            <w:pPr>
              <w:pStyle w:val="NoSpacing"/>
              <w:rPr>
                <w:sz w:val="22"/>
                <w:szCs w:val="22"/>
              </w:rPr>
            </w:pPr>
          </w:p>
        </w:tc>
        <w:tc>
          <w:tcPr>
            <w:tcW w:w="2340" w:type="dxa"/>
          </w:tcPr>
          <w:p w14:paraId="5AB4CB95" w14:textId="77777777" w:rsidR="0077333D" w:rsidRPr="000C4843" w:rsidRDefault="0077333D" w:rsidP="00E250A8">
            <w:pPr>
              <w:pStyle w:val="NoSpacing"/>
              <w:rPr>
                <w:sz w:val="22"/>
                <w:szCs w:val="22"/>
              </w:rPr>
            </w:pPr>
          </w:p>
        </w:tc>
        <w:tc>
          <w:tcPr>
            <w:tcW w:w="1692" w:type="dxa"/>
          </w:tcPr>
          <w:p w14:paraId="64F2ECBE" w14:textId="77777777" w:rsidR="0077333D" w:rsidRPr="000C4843" w:rsidRDefault="0077333D" w:rsidP="00E250A8">
            <w:pPr>
              <w:pStyle w:val="NoSpacing"/>
              <w:rPr>
                <w:sz w:val="22"/>
                <w:szCs w:val="22"/>
              </w:rPr>
            </w:pPr>
          </w:p>
        </w:tc>
      </w:tr>
      <w:tr w:rsidR="0077333D" w14:paraId="67A4ADE1" w14:textId="77777777" w:rsidTr="00E250A8">
        <w:tc>
          <w:tcPr>
            <w:tcW w:w="5688" w:type="dxa"/>
          </w:tcPr>
          <w:p w14:paraId="4BB875EC" w14:textId="77777777" w:rsidR="0077333D" w:rsidRPr="009D2CEC" w:rsidRDefault="0077333D" w:rsidP="00E250A8">
            <w:pPr>
              <w:pStyle w:val="NoSpacing"/>
              <w:spacing w:before="40" w:after="40"/>
            </w:pPr>
            <w:r w:rsidRPr="009D2CEC">
              <w:t>Review and repeat this planning process.</w:t>
            </w:r>
          </w:p>
        </w:tc>
        <w:tc>
          <w:tcPr>
            <w:tcW w:w="2340" w:type="dxa"/>
          </w:tcPr>
          <w:p w14:paraId="7E90ABD5" w14:textId="77777777" w:rsidR="0077333D" w:rsidRPr="000C4843" w:rsidRDefault="0077333D" w:rsidP="00E250A8">
            <w:pPr>
              <w:pStyle w:val="NoSpacing"/>
              <w:rPr>
                <w:sz w:val="22"/>
                <w:szCs w:val="22"/>
              </w:rPr>
            </w:pPr>
          </w:p>
        </w:tc>
        <w:tc>
          <w:tcPr>
            <w:tcW w:w="1692" w:type="dxa"/>
          </w:tcPr>
          <w:p w14:paraId="0F1D0710" w14:textId="77777777" w:rsidR="0077333D" w:rsidRPr="000C4843" w:rsidRDefault="0077333D" w:rsidP="00E250A8">
            <w:pPr>
              <w:pStyle w:val="NoSpacing"/>
              <w:rPr>
                <w:sz w:val="22"/>
                <w:szCs w:val="22"/>
              </w:rPr>
            </w:pPr>
          </w:p>
        </w:tc>
      </w:tr>
    </w:tbl>
    <w:p w14:paraId="740D08B0" w14:textId="29B121BE" w:rsidR="009C2767" w:rsidRPr="0077333D" w:rsidRDefault="009C2767" w:rsidP="0077333D"/>
    <w:sectPr w:rsidR="009C2767" w:rsidRPr="0077333D" w:rsidSect="00C41EFF">
      <w:headerReference w:type="default" r:id="rId8"/>
      <w:footerReference w:type="default" r:id="rId9"/>
      <w:headerReference w:type="first" r:id="rId10"/>
      <w:footerReference w:type="first" r:id="rId11"/>
      <w:pgSz w:w="12240" w:h="15840"/>
      <w:pgMar w:top="1267" w:right="1440" w:bottom="1440" w:left="1440" w:header="720" w:footer="103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D1464" w14:textId="77777777" w:rsidR="00475DA0" w:rsidRDefault="00475DA0" w:rsidP="00996F27">
      <w:r>
        <w:separator/>
      </w:r>
    </w:p>
  </w:endnote>
  <w:endnote w:type="continuationSeparator" w:id="0">
    <w:p w14:paraId="510B9B81" w14:textId="77777777" w:rsidR="00475DA0" w:rsidRDefault="00475DA0" w:rsidP="009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AD86" w14:textId="4EBD3956" w:rsidR="00276B5C" w:rsidRPr="004879FF" w:rsidRDefault="0077333D" w:rsidP="00E76AD8">
    <w:pPr>
      <w:ind w:right="-900"/>
      <w:jc w:val="right"/>
      <w:rPr>
        <w:rFonts w:ascii="Arial" w:hAnsi="Arial"/>
        <w:color w:val="808080" w:themeColor="background1" w:themeShade="80"/>
        <w:sz w:val="14"/>
        <w:szCs w:val="14"/>
      </w:rPr>
    </w:pPr>
    <w:r>
      <w:rPr>
        <w:rFonts w:ascii="Arial" w:hAnsi="Arial" w:cs="Times New Roman"/>
        <w:color w:val="808080" w:themeColor="background1" w:themeShade="80"/>
        <w:sz w:val="14"/>
        <w:szCs w:val="14"/>
      </w:rPr>
      <w:t>12</w:t>
    </w:r>
    <w:r w:rsidR="00276B5C">
      <w:rPr>
        <w:rFonts w:ascii="Arial" w:hAnsi="Arial" w:cs="Times New Roman"/>
        <w:color w:val="808080" w:themeColor="background1" w:themeShade="80"/>
        <w:sz w:val="14"/>
        <w:szCs w:val="14"/>
      </w:rPr>
      <w:t>/</w:t>
    </w:r>
    <w:r w:rsidR="00276B5C" w:rsidRPr="004879FF">
      <w:rPr>
        <w:rFonts w:ascii="Arial" w:hAnsi="Arial" w:cs="Times New Roman"/>
        <w:color w:val="808080" w:themeColor="background1" w:themeShade="80"/>
        <w:sz w:val="14"/>
        <w:szCs w:val="14"/>
      </w:rPr>
      <w:t>2</w:t>
    </w:r>
    <w:r w:rsidR="00276B5C">
      <w:rPr>
        <w:rFonts w:ascii="Arial" w:hAnsi="Arial" w:cs="Times New Roman"/>
        <w:color w:val="808080" w:themeColor="background1" w:themeShade="80"/>
        <w:sz w:val="14"/>
        <w:szCs w:val="14"/>
      </w:rPr>
      <w:t>016</w:t>
    </w:r>
  </w:p>
  <w:p w14:paraId="4C347595" w14:textId="15A11930" w:rsidR="00276B5C" w:rsidRPr="00C14922" w:rsidRDefault="00276B5C" w:rsidP="00207535">
    <w:pPr>
      <w:pStyle w:val="Footer"/>
      <w:framePr w:w="353" w:h="305" w:hRule="exact" w:wrap="around" w:vAnchor="text" w:hAnchor="page" w:x="5941" w:y="470"/>
      <w:jc w:val="center"/>
      <w:rPr>
        <w:rStyle w:val="PageNumber"/>
        <w:szCs w:val="20"/>
      </w:rPr>
    </w:pPr>
    <w:r w:rsidRPr="00C14922">
      <w:rPr>
        <w:rStyle w:val="PageNumber"/>
        <w:szCs w:val="20"/>
      </w:rPr>
      <w:fldChar w:fldCharType="begin"/>
    </w:r>
    <w:r w:rsidRPr="00C14922">
      <w:rPr>
        <w:rStyle w:val="PageNumber"/>
        <w:szCs w:val="20"/>
      </w:rPr>
      <w:instrText xml:space="preserve">PAGE  </w:instrText>
    </w:r>
    <w:r w:rsidRPr="00C14922">
      <w:rPr>
        <w:rStyle w:val="PageNumber"/>
        <w:szCs w:val="20"/>
      </w:rPr>
      <w:fldChar w:fldCharType="separate"/>
    </w:r>
    <w:r w:rsidR="00123E10">
      <w:rPr>
        <w:rStyle w:val="PageNumber"/>
        <w:noProof/>
        <w:szCs w:val="20"/>
      </w:rPr>
      <w:t>6</w:t>
    </w:r>
    <w:r w:rsidRPr="00C14922">
      <w:rPr>
        <w:rStyle w:val="PageNumber"/>
        <w:szCs w:val="20"/>
      </w:rPr>
      <w:fldChar w:fldCharType="end"/>
    </w:r>
  </w:p>
  <w:p w14:paraId="6497D773" w14:textId="365066C1" w:rsidR="00276B5C" w:rsidRPr="008013DD" w:rsidRDefault="00276B5C" w:rsidP="009D73DA">
    <w:pPr>
      <w:pStyle w:val="Footer"/>
      <w:tabs>
        <w:tab w:val="clear" w:pos="4320"/>
        <w:tab w:val="clear" w:pos="8640"/>
      </w:tabs>
    </w:pPr>
    <w:r>
      <w:rPr>
        <w:noProof/>
      </w:rPr>
      <w:drawing>
        <wp:anchor distT="0" distB="0" distL="114300" distR="114300" simplePos="0" relativeHeight="251656192" behindDoc="1" locked="0" layoutInCell="1" allowOverlap="1" wp14:anchorId="07265E78" wp14:editId="3EF599E8">
          <wp:simplePos x="0" y="0"/>
          <wp:positionH relativeFrom="column">
            <wp:posOffset>-914400</wp:posOffset>
          </wp:positionH>
          <wp:positionV relativeFrom="paragraph">
            <wp:posOffset>15875</wp:posOffset>
          </wp:positionV>
          <wp:extent cx="7772400" cy="820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18D45" w14:textId="45A67ABB" w:rsidR="00276B5C" w:rsidRPr="007F37FA" w:rsidRDefault="00915C47" w:rsidP="00467618">
    <w:pPr>
      <w:ind w:right="-900"/>
      <w:jc w:val="right"/>
      <w:rPr>
        <w:rFonts w:ascii="Arial" w:hAnsi="Arial"/>
        <w:color w:val="808080" w:themeColor="background1" w:themeShade="80"/>
        <w:sz w:val="12"/>
        <w:szCs w:val="12"/>
      </w:rPr>
    </w:pPr>
    <w:r>
      <w:rPr>
        <w:rFonts w:ascii="Arial" w:hAnsi="Arial" w:cs="Times New Roman"/>
        <w:color w:val="808080" w:themeColor="background1" w:themeShade="80"/>
        <w:sz w:val="12"/>
        <w:szCs w:val="12"/>
      </w:rPr>
      <w:t>12</w:t>
    </w:r>
    <w:r w:rsidR="00276B5C" w:rsidRPr="007F37FA">
      <w:rPr>
        <w:rFonts w:ascii="Arial" w:hAnsi="Arial" w:cs="Times New Roman"/>
        <w:color w:val="808080" w:themeColor="background1" w:themeShade="80"/>
        <w:sz w:val="12"/>
        <w:szCs w:val="12"/>
      </w:rPr>
      <w:t>/2016</w:t>
    </w:r>
  </w:p>
  <w:p w14:paraId="4A04E6E4" w14:textId="5966B99B" w:rsidR="00276B5C" w:rsidRDefault="00276B5C">
    <w:pPr>
      <w:pStyle w:val="Footer"/>
    </w:pPr>
    <w:r>
      <w:rPr>
        <w:noProof/>
      </w:rPr>
      <w:drawing>
        <wp:anchor distT="0" distB="0" distL="114300" distR="114300" simplePos="0" relativeHeight="251669504" behindDoc="1" locked="0" layoutInCell="1" allowOverlap="1" wp14:anchorId="20A1AA75" wp14:editId="2552A74A">
          <wp:simplePos x="0" y="0"/>
          <wp:positionH relativeFrom="column">
            <wp:posOffset>-914400</wp:posOffset>
          </wp:positionH>
          <wp:positionV relativeFrom="paragraph">
            <wp:posOffset>16510</wp:posOffset>
          </wp:positionV>
          <wp:extent cx="7772400" cy="820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0D66F" w14:textId="77777777" w:rsidR="00475DA0" w:rsidRDefault="00475DA0" w:rsidP="00996F27">
      <w:r>
        <w:separator/>
      </w:r>
    </w:p>
  </w:footnote>
  <w:footnote w:type="continuationSeparator" w:id="0">
    <w:p w14:paraId="34EAE85A" w14:textId="77777777" w:rsidR="00475DA0" w:rsidRDefault="00475DA0" w:rsidP="00996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E22E" w14:textId="078006F1" w:rsidR="00276B5C" w:rsidRPr="00535A5F" w:rsidRDefault="00552193" w:rsidP="00CE71C1">
    <w:pPr>
      <w:jc w:val="right"/>
      <w:rPr>
        <w:rFonts w:ascii="Century Gothic" w:hAnsi="Century Gothic"/>
        <w:sz w:val="20"/>
        <w:szCs w:val="20"/>
      </w:rPr>
    </w:pPr>
    <w:r w:rsidRPr="00535A5F">
      <w:rPr>
        <w:rFonts w:ascii="Century Gothic" w:hAnsi="Century Gothic"/>
        <w:sz w:val="20"/>
        <w:szCs w:val="20"/>
      </w:rPr>
      <w:t>Building Faculty Engagement and Leadership Tool</w:t>
    </w:r>
  </w:p>
  <w:p w14:paraId="106BC9FB" w14:textId="01F8F648" w:rsidR="00276B5C" w:rsidRPr="00CD7A0E" w:rsidRDefault="00276B5C" w:rsidP="00CD7A0E">
    <w:pPr>
      <w:pStyle w:val="Header"/>
      <w:jc w:val="righ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276B5C" w14:paraId="0C469AE9" w14:textId="77777777" w:rsidTr="00CE71C1">
      <w:tc>
        <w:tcPr>
          <w:tcW w:w="7740" w:type="dxa"/>
        </w:tcPr>
        <w:p w14:paraId="731BCAF9" w14:textId="0B0997CE" w:rsidR="00276B5C" w:rsidRPr="00915C47" w:rsidRDefault="00276B5C" w:rsidP="00915C47">
          <w:pPr>
            <w:widowControl w:val="0"/>
            <w:autoSpaceDE w:val="0"/>
            <w:autoSpaceDN w:val="0"/>
            <w:adjustRightInd w:val="0"/>
            <w:ind w:left="-86"/>
            <w:rPr>
              <w:rFonts w:ascii="Century Gothic" w:hAnsi="Century Gothic"/>
              <w:b/>
              <w:sz w:val="36"/>
              <w:szCs w:val="36"/>
            </w:rPr>
          </w:pPr>
          <w:r w:rsidRPr="00915C47">
            <w:rPr>
              <w:rFonts w:ascii="Century Gothic" w:hAnsi="Century Gothic"/>
              <w:b/>
              <w:noProof/>
              <w:sz w:val="36"/>
              <w:szCs w:val="36"/>
            </w:rPr>
            <w:drawing>
              <wp:anchor distT="0" distB="0" distL="114300" distR="114300" simplePos="0" relativeHeight="251659264" behindDoc="1" locked="0" layoutInCell="1" allowOverlap="1" wp14:anchorId="76536764" wp14:editId="031B4127">
                <wp:simplePos x="0" y="0"/>
                <wp:positionH relativeFrom="column">
                  <wp:posOffset>4852488</wp:posOffset>
                </wp:positionH>
                <wp:positionV relativeFrom="paragraph">
                  <wp:posOffset>-522514</wp:posOffset>
                </wp:positionV>
                <wp:extent cx="1983740" cy="10972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C47" w:rsidRPr="00915C47">
            <w:rPr>
              <w:rFonts w:ascii="Century Gothic" w:hAnsi="Century Gothic" w:cs="Arial"/>
              <w:b/>
              <w:sz w:val="36"/>
              <w:szCs w:val="36"/>
            </w:rPr>
            <w:t>Building Faculty Engagement and Leadership Tool</w:t>
          </w:r>
        </w:p>
      </w:tc>
    </w:tr>
  </w:tbl>
  <w:p w14:paraId="6F0556D0" w14:textId="0E70B2E3" w:rsidR="00276B5C" w:rsidRPr="00937DC6" w:rsidRDefault="00276B5C" w:rsidP="00493563">
    <w:pPr>
      <w:pStyle w:val="Header"/>
      <w:tabs>
        <w:tab w:val="clear" w:pos="4320"/>
        <w:tab w:val="clear" w:pos="8640"/>
      </w:tabs>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528"/>
    <w:multiLevelType w:val="hybridMultilevel"/>
    <w:tmpl w:val="673610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1435F"/>
    <w:multiLevelType w:val="hybridMultilevel"/>
    <w:tmpl w:val="9056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3428F"/>
    <w:multiLevelType w:val="hybridMultilevel"/>
    <w:tmpl w:val="2E087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5419"/>
    <w:multiLevelType w:val="hybridMultilevel"/>
    <w:tmpl w:val="827C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844A3"/>
    <w:multiLevelType w:val="hybridMultilevel"/>
    <w:tmpl w:val="D56E633A"/>
    <w:lvl w:ilvl="0" w:tplc="04090005">
      <w:start w:val="1"/>
      <w:numFmt w:val="bullet"/>
      <w:lvlText w:val=""/>
      <w:lvlJc w:val="left"/>
      <w:pPr>
        <w:ind w:left="1600" w:hanging="360"/>
      </w:pPr>
      <w:rPr>
        <w:rFonts w:ascii="Wingdings" w:hAnsi="Wingdings" w:hint="default"/>
      </w:rPr>
    </w:lvl>
    <w:lvl w:ilvl="1" w:tplc="04090003" w:tentative="1">
      <w:start w:val="1"/>
      <w:numFmt w:val="bullet"/>
      <w:lvlText w:val="o"/>
      <w:lvlJc w:val="left"/>
      <w:pPr>
        <w:ind w:left="2320" w:hanging="360"/>
      </w:pPr>
      <w:rPr>
        <w:rFonts w:ascii="Courier New" w:hAnsi="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E6633FA"/>
    <w:multiLevelType w:val="hybridMultilevel"/>
    <w:tmpl w:val="9A485B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4B1C47"/>
    <w:multiLevelType w:val="hybridMultilevel"/>
    <w:tmpl w:val="0ECA99CE"/>
    <w:lvl w:ilvl="0" w:tplc="04090005">
      <w:start w:val="1"/>
      <w:numFmt w:val="bullet"/>
      <w:lvlText w:val=""/>
      <w:lvlJc w:val="left"/>
      <w:pPr>
        <w:ind w:left="160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6A62AF"/>
    <w:multiLevelType w:val="hybridMultilevel"/>
    <w:tmpl w:val="DE74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735D9"/>
    <w:multiLevelType w:val="hybridMultilevel"/>
    <w:tmpl w:val="0504DF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9F6B19"/>
    <w:multiLevelType w:val="hybridMultilevel"/>
    <w:tmpl w:val="FC5AA9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720ED8"/>
    <w:multiLevelType w:val="hybridMultilevel"/>
    <w:tmpl w:val="50342C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475F8F"/>
    <w:multiLevelType w:val="hybridMultilevel"/>
    <w:tmpl w:val="71F42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E50391"/>
    <w:multiLevelType w:val="hybridMultilevel"/>
    <w:tmpl w:val="ED9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7477EA"/>
    <w:multiLevelType w:val="hybridMultilevel"/>
    <w:tmpl w:val="583C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4BC0"/>
    <w:multiLevelType w:val="hybridMultilevel"/>
    <w:tmpl w:val="9FF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F5B5E"/>
    <w:multiLevelType w:val="hybridMultilevel"/>
    <w:tmpl w:val="E4064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4"/>
  </w:num>
  <w:num w:numId="4">
    <w:abstractNumId w:val="1"/>
  </w:num>
  <w:num w:numId="5">
    <w:abstractNumId w:val="7"/>
  </w:num>
  <w:num w:numId="6">
    <w:abstractNumId w:val="15"/>
  </w:num>
  <w:num w:numId="7">
    <w:abstractNumId w:val="13"/>
  </w:num>
  <w:num w:numId="8">
    <w:abstractNumId w:val="8"/>
  </w:num>
  <w:num w:numId="9">
    <w:abstractNumId w:val="5"/>
  </w:num>
  <w:num w:numId="10">
    <w:abstractNumId w:val="11"/>
  </w:num>
  <w:num w:numId="11">
    <w:abstractNumId w:val="0"/>
  </w:num>
  <w:num w:numId="12">
    <w:abstractNumId w:val="4"/>
  </w:num>
  <w:num w:numId="13">
    <w:abstractNumId w:val="2"/>
  </w:num>
  <w:num w:numId="14">
    <w:abstractNumId w:val="1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0"/>
    <w:rsid w:val="000C51CD"/>
    <w:rsid w:val="000C5A1A"/>
    <w:rsid w:val="00123E10"/>
    <w:rsid w:val="00136D29"/>
    <w:rsid w:val="00144E7D"/>
    <w:rsid w:val="00163353"/>
    <w:rsid w:val="00185FE2"/>
    <w:rsid w:val="00195F40"/>
    <w:rsid w:val="001D348F"/>
    <w:rsid w:val="001D7F4A"/>
    <w:rsid w:val="00207535"/>
    <w:rsid w:val="00276B5C"/>
    <w:rsid w:val="002833D3"/>
    <w:rsid w:val="002A5F47"/>
    <w:rsid w:val="003120B9"/>
    <w:rsid w:val="003212E4"/>
    <w:rsid w:val="00380673"/>
    <w:rsid w:val="003A7B33"/>
    <w:rsid w:val="003F64AE"/>
    <w:rsid w:val="0040070A"/>
    <w:rsid w:val="00467618"/>
    <w:rsid w:val="00475DA0"/>
    <w:rsid w:val="00483788"/>
    <w:rsid w:val="004879FF"/>
    <w:rsid w:val="00493563"/>
    <w:rsid w:val="004A2BDD"/>
    <w:rsid w:val="004B0EA0"/>
    <w:rsid w:val="004C0E19"/>
    <w:rsid w:val="004E0033"/>
    <w:rsid w:val="0052340A"/>
    <w:rsid w:val="00530B30"/>
    <w:rsid w:val="00533C64"/>
    <w:rsid w:val="00535A5F"/>
    <w:rsid w:val="00552193"/>
    <w:rsid w:val="00592E03"/>
    <w:rsid w:val="0059742B"/>
    <w:rsid w:val="005C402C"/>
    <w:rsid w:val="005E0FA3"/>
    <w:rsid w:val="005E44F4"/>
    <w:rsid w:val="00643DCF"/>
    <w:rsid w:val="006446F5"/>
    <w:rsid w:val="0067700D"/>
    <w:rsid w:val="006B23F7"/>
    <w:rsid w:val="006D095F"/>
    <w:rsid w:val="00702BF5"/>
    <w:rsid w:val="00725AB2"/>
    <w:rsid w:val="00726722"/>
    <w:rsid w:val="0077333D"/>
    <w:rsid w:val="007C5FEF"/>
    <w:rsid w:val="007C7998"/>
    <w:rsid w:val="007F37FA"/>
    <w:rsid w:val="008013DD"/>
    <w:rsid w:val="00840AE6"/>
    <w:rsid w:val="00862D86"/>
    <w:rsid w:val="00881DF8"/>
    <w:rsid w:val="00884752"/>
    <w:rsid w:val="008E1F39"/>
    <w:rsid w:val="008F227A"/>
    <w:rsid w:val="00915C47"/>
    <w:rsid w:val="0092452B"/>
    <w:rsid w:val="00937DC6"/>
    <w:rsid w:val="00965FBA"/>
    <w:rsid w:val="0099290C"/>
    <w:rsid w:val="00996F27"/>
    <w:rsid w:val="009A0513"/>
    <w:rsid w:val="009A7905"/>
    <w:rsid w:val="009C2767"/>
    <w:rsid w:val="009D2CEC"/>
    <w:rsid w:val="009D2EB7"/>
    <w:rsid w:val="009D73DA"/>
    <w:rsid w:val="009E4D1D"/>
    <w:rsid w:val="009E604F"/>
    <w:rsid w:val="00A7007E"/>
    <w:rsid w:val="00AA1AB6"/>
    <w:rsid w:val="00AF1564"/>
    <w:rsid w:val="00B01D70"/>
    <w:rsid w:val="00B51FA4"/>
    <w:rsid w:val="00B52920"/>
    <w:rsid w:val="00B74291"/>
    <w:rsid w:val="00B809A5"/>
    <w:rsid w:val="00BD1903"/>
    <w:rsid w:val="00BD3913"/>
    <w:rsid w:val="00BF5D3D"/>
    <w:rsid w:val="00C41EFF"/>
    <w:rsid w:val="00CB0DA5"/>
    <w:rsid w:val="00CD7A0E"/>
    <w:rsid w:val="00CE71C1"/>
    <w:rsid w:val="00CF7E8A"/>
    <w:rsid w:val="00D34D64"/>
    <w:rsid w:val="00DC0ECB"/>
    <w:rsid w:val="00DC11FB"/>
    <w:rsid w:val="00DC3D39"/>
    <w:rsid w:val="00DE350D"/>
    <w:rsid w:val="00DE783C"/>
    <w:rsid w:val="00DF6068"/>
    <w:rsid w:val="00E232CD"/>
    <w:rsid w:val="00E64EA0"/>
    <w:rsid w:val="00E76AD8"/>
    <w:rsid w:val="00EB6023"/>
    <w:rsid w:val="00EC77A8"/>
    <w:rsid w:val="00F04356"/>
    <w:rsid w:val="00F16717"/>
    <w:rsid w:val="00F17070"/>
    <w:rsid w:val="00F54348"/>
    <w:rsid w:val="00F964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42A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3F7"/>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3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 w:type="paragraph" w:styleId="CommentText">
    <w:name w:val="annotation text"/>
    <w:basedOn w:val="Normal"/>
    <w:link w:val="CommentTextChar"/>
    <w:uiPriority w:val="99"/>
    <w:semiHidden/>
    <w:unhideWhenUsed/>
    <w:rsid w:val="00C41EFF"/>
  </w:style>
  <w:style w:type="character" w:customStyle="1" w:styleId="CommentTextChar">
    <w:name w:val="Comment Text Char"/>
    <w:basedOn w:val="DefaultParagraphFont"/>
    <w:link w:val="CommentText"/>
    <w:uiPriority w:val="99"/>
    <w:semiHidden/>
    <w:rsid w:val="00C41EFF"/>
    <w:rPr>
      <w:rFonts w:ascii="Cambria" w:hAnsi="Cambria"/>
    </w:rPr>
  </w:style>
  <w:style w:type="paragraph" w:styleId="CommentSubject">
    <w:name w:val="annotation subject"/>
    <w:basedOn w:val="CommentText"/>
    <w:next w:val="CommentText"/>
    <w:link w:val="CommentSubjectChar"/>
    <w:uiPriority w:val="99"/>
    <w:semiHidden/>
    <w:unhideWhenUsed/>
    <w:rsid w:val="00C41EFF"/>
    <w:rPr>
      <w:b/>
      <w:bCs/>
      <w:sz w:val="20"/>
      <w:szCs w:val="20"/>
    </w:rPr>
  </w:style>
  <w:style w:type="character" w:customStyle="1" w:styleId="CommentSubjectChar">
    <w:name w:val="Comment Subject Char"/>
    <w:basedOn w:val="CommentTextChar"/>
    <w:link w:val="CommentSubject"/>
    <w:uiPriority w:val="99"/>
    <w:semiHidden/>
    <w:rsid w:val="00C41EFF"/>
    <w:rPr>
      <w:rFonts w:ascii="Cambria" w:hAnsi="Cambria"/>
      <w:b/>
      <w:bCs/>
      <w:sz w:val="20"/>
      <w:szCs w:val="20"/>
    </w:rPr>
  </w:style>
  <w:style w:type="paragraph" w:styleId="Revision">
    <w:name w:val="Revision"/>
    <w:hidden/>
    <w:uiPriority w:val="99"/>
    <w:semiHidden/>
    <w:rsid w:val="00C41EFF"/>
    <w:rPr>
      <w:rFonts w:ascii="Cambria" w:hAnsi="Cambria"/>
    </w:rPr>
  </w:style>
  <w:style w:type="paragraph" w:styleId="NoSpacing">
    <w:name w:val="No Spacing"/>
    <w:uiPriority w:val="1"/>
    <w:qFormat/>
    <w:rsid w:val="0077333D"/>
  </w:style>
  <w:style w:type="character" w:styleId="Hyperlink">
    <w:name w:val="Hyperlink"/>
    <w:basedOn w:val="DefaultParagraphFont"/>
    <w:uiPriority w:val="99"/>
    <w:unhideWhenUsed/>
    <w:rsid w:val="0077333D"/>
    <w:rPr>
      <w:color w:val="BF5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crc.tc.columbia.edu/publications/faculty-orientations-toward-instructional-reform.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CMP (UT Colors)">
      <a:dk1>
        <a:srgbClr val="333F48"/>
      </a:dk1>
      <a:lt1>
        <a:sysClr val="window" lastClr="FFFFFF"/>
      </a:lt1>
      <a:dk2>
        <a:srgbClr val="BF5700"/>
      </a:dk2>
      <a:lt2>
        <a:srgbClr val="D6D2C4"/>
      </a:lt2>
      <a:accent1>
        <a:srgbClr val="333F48"/>
      </a:accent1>
      <a:accent2>
        <a:srgbClr val="005F86"/>
      </a:accent2>
      <a:accent3>
        <a:srgbClr val="43695B"/>
      </a:accent3>
      <a:accent4>
        <a:srgbClr val="F2A900"/>
      </a:accent4>
      <a:accent5>
        <a:srgbClr val="382F2D"/>
      </a:accent5>
      <a:accent6>
        <a:srgbClr val="D6D2C4"/>
      </a:accent6>
      <a:hlink>
        <a:srgbClr val="BF5700"/>
      </a:hlink>
      <a:folHlink>
        <a:srgbClr val="BF570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1398</Words>
  <Characters>7970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Seifert</dc:creator>
  <cp:keywords/>
  <dc:description/>
  <cp:lastModifiedBy>Cook, Heather D</cp:lastModifiedBy>
  <cp:revision>2</cp:revision>
  <cp:lastPrinted>2016-09-29T17:32:00Z</cp:lastPrinted>
  <dcterms:created xsi:type="dcterms:W3CDTF">2017-09-29T22:39:00Z</dcterms:created>
  <dcterms:modified xsi:type="dcterms:W3CDTF">2017-09-29T22:39:00Z</dcterms:modified>
</cp:coreProperties>
</file>